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AC7" w:rsidRPr="004A3F00" w:rsidRDefault="00403943" w:rsidP="00842A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80"/>
        <w:rPr>
          <w:rFonts w:eastAsia="Times New Roman" w:cs="Times-Roman"/>
          <w:b/>
          <w:color w:val="141413"/>
          <w:lang w:val="en-US" w:bidi="en-US"/>
        </w:rPr>
      </w:pPr>
      <w:r w:rsidRPr="004A3F00">
        <w:rPr>
          <w:rFonts w:eastAsia="Times New Roman" w:cs="Times-Roman"/>
          <w:b/>
          <w:color w:val="141413"/>
          <w:lang w:val="en-US" w:bidi="en-US"/>
        </w:rPr>
        <w:t xml:space="preserve">SDC Results </w:t>
      </w:r>
      <w:r w:rsidR="00D563A6" w:rsidRPr="004A3F00">
        <w:rPr>
          <w:rFonts w:eastAsia="Times New Roman" w:cs="Times-Roman"/>
          <w:b/>
          <w:color w:val="141413"/>
          <w:lang w:val="en-US" w:bidi="en-US"/>
        </w:rPr>
        <w:t>Reporting Template</w:t>
      </w:r>
      <w:r w:rsidR="000449C9">
        <w:rPr>
          <w:rFonts w:eastAsia="Times New Roman" w:cs="Times-Roman"/>
          <w:b/>
          <w:color w:val="141413"/>
          <w:lang w:val="en-US" w:bidi="en-US"/>
        </w:rPr>
        <w:t xml:space="preserve"> (201</w:t>
      </w:r>
      <w:r w:rsidR="005F29CB">
        <w:rPr>
          <w:rFonts w:eastAsia="Times New Roman" w:cs="Times-Roman"/>
          <w:b/>
          <w:color w:val="141413"/>
          <w:lang w:val="en-US" w:bidi="en-US"/>
        </w:rPr>
        <w:t>7</w:t>
      </w:r>
      <w:r w:rsidR="000449C9">
        <w:rPr>
          <w:rFonts w:eastAsia="Times New Roman" w:cs="Times-Roman"/>
          <w:b/>
          <w:color w:val="141413"/>
          <w:lang w:val="en-US" w:bidi="en-US"/>
        </w:rPr>
        <w:t>)</w:t>
      </w:r>
    </w:p>
    <w:tbl>
      <w:tblPr>
        <w:tblpPr w:leftFromText="180" w:rightFromText="180" w:vertAnchor="page" w:horzAnchor="margin" w:tblpX="72" w:tblpY="1321"/>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1615"/>
        <w:gridCol w:w="1800"/>
        <w:gridCol w:w="2790"/>
        <w:gridCol w:w="1890"/>
      </w:tblGrid>
      <w:tr w:rsidR="00296A2B" w:rsidRPr="00A9499C" w:rsidTr="00D33512">
        <w:trPr>
          <w:trHeight w:val="270"/>
        </w:trPr>
        <w:tc>
          <w:tcPr>
            <w:tcW w:w="10345" w:type="dxa"/>
            <w:gridSpan w:val="5"/>
            <w:shd w:val="clear" w:color="auto" w:fill="auto"/>
          </w:tcPr>
          <w:p w:rsidR="00296A2B" w:rsidRPr="00574ADA" w:rsidRDefault="00296A2B" w:rsidP="00272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imes-Roman"/>
                <w:b/>
                <w:color w:val="141413"/>
                <w:sz w:val="20"/>
                <w:szCs w:val="20"/>
                <w:lang w:val="en-US" w:bidi="en-US"/>
              </w:rPr>
            </w:pPr>
            <w:r w:rsidRPr="00574ADA">
              <w:rPr>
                <w:rFonts w:eastAsia="Times New Roman" w:cs="Times-Roman"/>
                <w:b/>
                <w:color w:val="141413"/>
                <w:sz w:val="20"/>
                <w:szCs w:val="20"/>
                <w:lang w:val="en-US" w:bidi="en-US"/>
              </w:rPr>
              <w:t xml:space="preserve">Project Title: </w:t>
            </w:r>
            <w:r w:rsidR="00C06472" w:rsidRPr="00C06472">
              <w:rPr>
                <w:rFonts w:eastAsia="Times New Roman"/>
                <w:b/>
                <w:sz w:val="20"/>
                <w:szCs w:val="20"/>
                <w:lang w:val="en-US" w:eastAsia="ar-SA"/>
              </w:rPr>
              <w:t xml:space="preserve"> </w:t>
            </w:r>
            <w:r w:rsidR="00C06472" w:rsidRPr="00C06472">
              <w:rPr>
                <w:rFonts w:eastAsia="Times New Roman"/>
                <w:lang w:val="en-US"/>
              </w:rPr>
              <w:t xml:space="preserve"> </w:t>
            </w:r>
            <w:r w:rsidR="003B731E" w:rsidRPr="003B731E">
              <w:rPr>
                <w:rFonts w:eastAsia="Times New Roman"/>
                <w:b/>
                <w:sz w:val="20"/>
                <w:szCs w:val="20"/>
                <w:lang w:val="en-US" w:eastAsia="ar-SA"/>
              </w:rPr>
              <w:t xml:space="preserve"> </w:t>
            </w:r>
            <w:r w:rsidR="002978DF">
              <w:rPr>
                <w:rFonts w:eastAsia="Times New Roman"/>
                <w:b/>
                <w:sz w:val="20"/>
                <w:szCs w:val="20"/>
                <w:lang w:val="en-US" w:eastAsia="ar-SA"/>
              </w:rPr>
              <w:t>Development of Minamata Initial Assessment fo</w:t>
            </w:r>
            <w:r w:rsidR="0019741D">
              <w:rPr>
                <w:rFonts w:eastAsia="Times New Roman"/>
                <w:b/>
                <w:sz w:val="20"/>
                <w:szCs w:val="20"/>
                <w:lang w:val="en-US" w:eastAsia="ar-SA"/>
              </w:rPr>
              <w:t>r G</w:t>
            </w:r>
            <w:r w:rsidR="002978DF">
              <w:rPr>
                <w:rFonts w:eastAsia="Times New Roman"/>
                <w:b/>
                <w:sz w:val="20"/>
                <w:szCs w:val="20"/>
                <w:lang w:val="en-US" w:eastAsia="ar-SA"/>
              </w:rPr>
              <w:t>han</w:t>
            </w:r>
            <w:r w:rsidR="0019741D">
              <w:rPr>
                <w:rFonts w:eastAsia="Times New Roman"/>
                <w:b/>
                <w:sz w:val="20"/>
                <w:szCs w:val="20"/>
                <w:lang w:val="en-US" w:eastAsia="ar-SA"/>
              </w:rPr>
              <w:t>a</w:t>
            </w:r>
          </w:p>
        </w:tc>
      </w:tr>
      <w:tr w:rsidR="00296A2B" w:rsidRPr="00A9499C" w:rsidTr="00D33512">
        <w:trPr>
          <w:trHeight w:val="210"/>
        </w:trPr>
        <w:tc>
          <w:tcPr>
            <w:tcW w:w="5665" w:type="dxa"/>
            <w:gridSpan w:val="3"/>
            <w:shd w:val="clear" w:color="auto" w:fill="auto"/>
          </w:tcPr>
          <w:p w:rsidR="00296A2B" w:rsidRPr="00574ADA" w:rsidRDefault="00296A2B" w:rsidP="00272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imes-Roman"/>
                <w:b/>
                <w:color w:val="141413"/>
                <w:sz w:val="20"/>
                <w:szCs w:val="20"/>
                <w:lang w:val="en-US" w:bidi="en-US"/>
              </w:rPr>
            </w:pPr>
            <w:r w:rsidRPr="00574ADA">
              <w:rPr>
                <w:rFonts w:eastAsia="Times New Roman" w:cs="Times-Roman"/>
                <w:b/>
                <w:color w:val="141413"/>
                <w:sz w:val="20"/>
                <w:szCs w:val="20"/>
                <w:lang w:val="en-US" w:bidi="en-US"/>
              </w:rPr>
              <w:t>Name of IP:</w:t>
            </w:r>
            <w:r w:rsidR="00B45BCC">
              <w:rPr>
                <w:rFonts w:eastAsia="Times New Roman" w:cs="Times-Roman"/>
                <w:b/>
                <w:color w:val="141413"/>
                <w:sz w:val="20"/>
                <w:szCs w:val="20"/>
                <w:lang w:val="en-US" w:bidi="en-US"/>
              </w:rPr>
              <w:t xml:space="preserve">    </w:t>
            </w:r>
            <w:r w:rsidR="002978DF">
              <w:rPr>
                <w:rFonts w:eastAsia="Times New Roman" w:cs="Times-Roman"/>
                <w:b/>
                <w:color w:val="141413"/>
                <w:sz w:val="20"/>
                <w:szCs w:val="20"/>
                <w:lang w:val="en-US" w:bidi="en-US"/>
              </w:rPr>
              <w:t>Environmental Protection Agency</w:t>
            </w:r>
            <w:r w:rsidR="00B45BCC">
              <w:rPr>
                <w:rFonts w:eastAsia="Times New Roman" w:cs="Times-Roman"/>
                <w:b/>
                <w:color w:val="141413"/>
                <w:sz w:val="20"/>
                <w:szCs w:val="20"/>
                <w:lang w:val="en-US" w:bidi="en-US"/>
              </w:rPr>
              <w:t xml:space="preserve">  </w:t>
            </w:r>
          </w:p>
        </w:tc>
        <w:tc>
          <w:tcPr>
            <w:tcW w:w="4680" w:type="dxa"/>
            <w:gridSpan w:val="2"/>
            <w:shd w:val="clear" w:color="auto" w:fill="auto"/>
          </w:tcPr>
          <w:p w:rsidR="00296A2B" w:rsidRPr="00574ADA" w:rsidRDefault="00296A2B" w:rsidP="00272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imes-Roman"/>
                <w:b/>
                <w:color w:val="141413"/>
                <w:sz w:val="20"/>
                <w:szCs w:val="20"/>
                <w:lang w:val="en-US" w:bidi="en-US"/>
              </w:rPr>
            </w:pPr>
            <w:r w:rsidRPr="00574ADA">
              <w:rPr>
                <w:rFonts w:eastAsia="Times New Roman" w:cs="Times-Roman"/>
                <w:b/>
                <w:color w:val="141413"/>
                <w:sz w:val="20"/>
                <w:szCs w:val="20"/>
                <w:lang w:val="en-US" w:bidi="en-US"/>
              </w:rPr>
              <w:t>D</w:t>
            </w:r>
            <w:r>
              <w:rPr>
                <w:rFonts w:eastAsia="Times New Roman" w:cs="Times-Roman"/>
                <w:b/>
                <w:color w:val="141413"/>
                <w:sz w:val="20"/>
                <w:szCs w:val="20"/>
                <w:lang w:val="en-US" w:bidi="en-US"/>
              </w:rPr>
              <w:t>ate</w:t>
            </w:r>
            <w:r w:rsidRPr="00574ADA">
              <w:rPr>
                <w:rFonts w:eastAsia="Times New Roman" w:cs="Times-Roman"/>
                <w:b/>
                <w:color w:val="141413"/>
                <w:sz w:val="20"/>
                <w:szCs w:val="20"/>
                <w:lang w:val="en-US" w:bidi="en-US"/>
              </w:rPr>
              <w:t>:</w:t>
            </w:r>
            <w:r w:rsidR="009E0D78" w:rsidRPr="009E0D78">
              <w:rPr>
                <w:rFonts w:eastAsia="Times New Roman" w:cs="Times-Roman"/>
                <w:b/>
                <w:color w:val="141413"/>
                <w:sz w:val="20"/>
                <w:szCs w:val="20"/>
                <w:lang w:val="en-US" w:bidi="en-US"/>
              </w:rPr>
              <w:t>1</w:t>
            </w:r>
            <w:r w:rsidR="009E0D78" w:rsidRPr="009E0D78">
              <w:rPr>
                <w:rFonts w:eastAsia="Times New Roman" w:cs="Times-Roman"/>
                <w:b/>
                <w:color w:val="141413"/>
                <w:sz w:val="20"/>
                <w:szCs w:val="20"/>
                <w:vertAlign w:val="superscript"/>
                <w:lang w:val="en-US" w:bidi="en-US"/>
              </w:rPr>
              <w:t>st</w:t>
            </w:r>
            <w:r w:rsidR="009E0D78" w:rsidRPr="009E0D78">
              <w:rPr>
                <w:rFonts w:eastAsia="Times New Roman" w:cs="Times-Roman"/>
                <w:b/>
                <w:color w:val="141413"/>
                <w:sz w:val="20"/>
                <w:szCs w:val="20"/>
                <w:lang w:val="en-US" w:bidi="en-US"/>
              </w:rPr>
              <w:t xml:space="preserve"> January – </w:t>
            </w:r>
            <w:r w:rsidR="00A63F14" w:rsidRPr="00A63F14">
              <w:rPr>
                <w:rFonts w:eastAsia="Times New Roman" w:cs="Times-Roman"/>
                <w:b/>
                <w:color w:val="141413"/>
                <w:sz w:val="20"/>
                <w:szCs w:val="20"/>
                <w:lang w:val="en-US" w:bidi="en-US"/>
              </w:rPr>
              <w:t>30</w:t>
            </w:r>
            <w:r w:rsidR="00A63F14" w:rsidRPr="00A63F14">
              <w:rPr>
                <w:rFonts w:eastAsia="Times New Roman" w:cs="Times-Roman"/>
                <w:b/>
                <w:color w:val="141413"/>
                <w:sz w:val="20"/>
                <w:szCs w:val="20"/>
                <w:vertAlign w:val="superscript"/>
                <w:lang w:val="en-US" w:bidi="en-US"/>
              </w:rPr>
              <w:t>th</w:t>
            </w:r>
            <w:r w:rsidR="00D7697F">
              <w:rPr>
                <w:rFonts w:eastAsia="Times New Roman" w:cs="Times-Roman"/>
                <w:b/>
                <w:color w:val="141413"/>
                <w:sz w:val="20"/>
                <w:szCs w:val="20"/>
                <w:lang w:val="en-US" w:bidi="en-US"/>
              </w:rPr>
              <w:t xml:space="preserve"> December</w:t>
            </w:r>
            <w:r w:rsidR="005F29CB">
              <w:rPr>
                <w:rFonts w:eastAsia="Times New Roman" w:cs="Times-Roman"/>
                <w:b/>
                <w:color w:val="141413"/>
                <w:sz w:val="20"/>
                <w:szCs w:val="20"/>
                <w:lang w:val="en-US" w:bidi="en-US"/>
              </w:rPr>
              <w:t xml:space="preserve"> 2017</w:t>
            </w:r>
          </w:p>
        </w:tc>
      </w:tr>
      <w:tr w:rsidR="00296A2B" w:rsidRPr="00A9499C" w:rsidTr="00D33512">
        <w:trPr>
          <w:trHeight w:val="263"/>
        </w:trPr>
        <w:tc>
          <w:tcPr>
            <w:tcW w:w="10345" w:type="dxa"/>
            <w:gridSpan w:val="5"/>
            <w:shd w:val="clear" w:color="auto" w:fill="D9D9D9" w:themeFill="background1" w:themeFillShade="D9"/>
          </w:tcPr>
          <w:p w:rsidR="00296A2B" w:rsidRPr="00040826" w:rsidRDefault="001007B7" w:rsidP="002728A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2" w:hanging="162"/>
              <w:jc w:val="left"/>
              <w:rPr>
                <w:rFonts w:eastAsia="Times New Roman" w:cs="Times-Roman"/>
                <w:b/>
                <w:color w:val="141413"/>
                <w:sz w:val="20"/>
                <w:szCs w:val="20"/>
                <w:lang w:val="en-US" w:bidi="en-US"/>
              </w:rPr>
            </w:pPr>
            <w:r>
              <w:rPr>
                <w:rFonts w:eastAsia="Times New Roman" w:cs="Times-Roman"/>
                <w:b/>
                <w:color w:val="003D80"/>
                <w:sz w:val="20"/>
                <w:szCs w:val="20"/>
                <w:lang w:val="en-US" w:eastAsia="en-CA" w:bidi="en-US"/>
              </w:rPr>
              <w:t>RESULTS</w:t>
            </w:r>
            <w:r w:rsidR="00040826" w:rsidRPr="00040826">
              <w:rPr>
                <w:rFonts w:eastAsia="Times New Roman" w:cs="Times-Roman"/>
                <w:b/>
                <w:color w:val="003D80"/>
                <w:sz w:val="20"/>
                <w:szCs w:val="20"/>
                <w:lang w:val="en-US" w:eastAsia="en-CA" w:bidi="en-US"/>
              </w:rPr>
              <w:t xml:space="preserve"> PERFORMANCE/ACHIEVEMENTS</w:t>
            </w:r>
            <w:r w:rsidR="00040826" w:rsidRPr="00040826">
              <w:rPr>
                <w:rFonts w:eastAsia="Times New Roman" w:cs="Times-Roman"/>
                <w:b/>
                <w:color w:val="141413"/>
                <w:sz w:val="20"/>
                <w:szCs w:val="20"/>
                <w:lang w:val="en-US" w:bidi="en-US"/>
              </w:rPr>
              <w:t xml:space="preserve"> </w:t>
            </w:r>
          </w:p>
        </w:tc>
      </w:tr>
      <w:tr w:rsidR="00296A2B" w:rsidRPr="00A9499C" w:rsidTr="00D33512">
        <w:tc>
          <w:tcPr>
            <w:tcW w:w="2250" w:type="dxa"/>
            <w:shd w:val="clear" w:color="auto" w:fill="D9D9D9" w:themeFill="background1" w:themeFillShade="D9"/>
          </w:tcPr>
          <w:p w:rsidR="00A610E2" w:rsidRDefault="00296A2B" w:rsidP="00272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i/>
                <w:color w:val="141413"/>
                <w:sz w:val="18"/>
                <w:szCs w:val="14"/>
                <w:lang w:val="en-US" w:eastAsia="en-CA" w:bidi="en-US"/>
              </w:rPr>
            </w:pPr>
            <w:r w:rsidRPr="007E29E0">
              <w:rPr>
                <w:rFonts w:eastAsia="Times New Roman" w:cs="Times-Roman"/>
                <w:b/>
                <w:color w:val="003D80"/>
                <w:sz w:val="20"/>
                <w:szCs w:val="20"/>
                <w:lang w:val="en-US" w:eastAsia="en-CA" w:bidi="en-US"/>
              </w:rPr>
              <w:t xml:space="preserve">Project Results </w:t>
            </w:r>
            <w:r w:rsidR="00A610E2" w:rsidRPr="00A9499C">
              <w:rPr>
                <w:rFonts w:eastAsia="Times New Roman" w:cs="Helvetica"/>
                <w:i/>
                <w:color w:val="141413"/>
                <w:sz w:val="18"/>
                <w:szCs w:val="14"/>
                <w:lang w:val="en-US" w:eastAsia="en-CA" w:bidi="en-US"/>
              </w:rPr>
              <w:t xml:space="preserve"> </w:t>
            </w:r>
          </w:p>
          <w:p w:rsidR="00296A2B" w:rsidRPr="007E29E0" w:rsidRDefault="00A610E2" w:rsidP="00272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Times-Roman"/>
                <w:b/>
                <w:color w:val="003D80"/>
                <w:sz w:val="20"/>
                <w:szCs w:val="20"/>
                <w:lang w:val="en-US" w:eastAsia="en-CA" w:bidi="en-US"/>
              </w:rPr>
            </w:pPr>
            <w:r w:rsidRPr="00A9499C">
              <w:rPr>
                <w:rFonts w:eastAsia="Times New Roman" w:cs="Helvetica"/>
                <w:i/>
                <w:color w:val="141413"/>
                <w:sz w:val="18"/>
                <w:szCs w:val="14"/>
                <w:lang w:val="en-US" w:eastAsia="en-CA" w:bidi="en-US"/>
              </w:rPr>
              <w:t xml:space="preserve">State project </w:t>
            </w:r>
            <w:r>
              <w:rPr>
                <w:rFonts w:eastAsia="Times New Roman" w:cs="Helvetica"/>
                <w:i/>
                <w:color w:val="141413"/>
                <w:sz w:val="18"/>
                <w:szCs w:val="14"/>
                <w:lang w:val="en-US" w:eastAsia="en-CA" w:bidi="en-US"/>
              </w:rPr>
              <w:t>results (</w:t>
            </w:r>
            <w:r w:rsidRPr="00A9499C">
              <w:rPr>
                <w:rFonts w:eastAsia="Times New Roman" w:cs="Helvetica"/>
                <w:i/>
                <w:color w:val="141413"/>
                <w:sz w:val="18"/>
                <w:szCs w:val="14"/>
                <w:lang w:val="en-US" w:eastAsia="en-CA" w:bidi="en-US"/>
              </w:rPr>
              <w:t>outcomes</w:t>
            </w:r>
            <w:r>
              <w:rPr>
                <w:rFonts w:eastAsia="Times New Roman" w:cs="Helvetica"/>
                <w:i/>
                <w:color w:val="141413"/>
                <w:sz w:val="18"/>
                <w:szCs w:val="14"/>
                <w:lang w:val="en-US" w:eastAsia="en-CA" w:bidi="en-US"/>
              </w:rPr>
              <w:t xml:space="preserve"> of Output</w:t>
            </w:r>
            <w:r w:rsidRPr="00A9499C">
              <w:rPr>
                <w:rFonts w:eastAsia="Times New Roman" w:cs="Helvetica"/>
                <w:i/>
                <w:color w:val="141413"/>
                <w:sz w:val="18"/>
                <w:szCs w:val="14"/>
                <w:lang w:val="en-US" w:eastAsia="en-CA" w:bidi="en-US"/>
              </w:rPr>
              <w:t xml:space="preserve"> from appro</w:t>
            </w:r>
            <w:r>
              <w:rPr>
                <w:rFonts w:eastAsia="Times New Roman" w:cs="Helvetica"/>
                <w:i/>
                <w:color w:val="141413"/>
                <w:sz w:val="18"/>
                <w:szCs w:val="14"/>
                <w:lang w:val="en-US" w:eastAsia="en-CA" w:bidi="en-US"/>
              </w:rPr>
              <w:t>ved project document or work plan</w:t>
            </w:r>
          </w:p>
        </w:tc>
        <w:tc>
          <w:tcPr>
            <w:tcW w:w="1615" w:type="dxa"/>
            <w:shd w:val="clear" w:color="auto" w:fill="D9D9D9" w:themeFill="background1" w:themeFillShade="D9"/>
          </w:tcPr>
          <w:p w:rsidR="00A610E2" w:rsidRDefault="00296A2B" w:rsidP="00272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i/>
                <w:color w:val="141413"/>
                <w:sz w:val="18"/>
                <w:szCs w:val="14"/>
                <w:lang w:val="en-US" w:eastAsia="en-CA" w:bidi="en-US"/>
              </w:rPr>
            </w:pPr>
            <w:r w:rsidRPr="007E29E0">
              <w:rPr>
                <w:rFonts w:eastAsia="Times New Roman" w:cs="Times-Roman"/>
                <w:b/>
                <w:color w:val="003D80"/>
                <w:sz w:val="20"/>
                <w:szCs w:val="20"/>
                <w:lang w:val="en-US" w:eastAsia="en-CA" w:bidi="en-US"/>
              </w:rPr>
              <w:t>Indicators</w:t>
            </w:r>
            <w:r w:rsidR="00A610E2">
              <w:rPr>
                <w:rFonts w:eastAsia="Times New Roman" w:cs="Helvetica"/>
                <w:i/>
                <w:color w:val="141413"/>
                <w:sz w:val="18"/>
                <w:szCs w:val="14"/>
                <w:lang w:val="en-US" w:eastAsia="en-CA" w:bidi="en-US"/>
              </w:rPr>
              <w:t xml:space="preserve"> </w:t>
            </w:r>
          </w:p>
          <w:p w:rsidR="00296A2B" w:rsidRPr="007E29E0" w:rsidRDefault="00A610E2" w:rsidP="00272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Times-Roman"/>
                <w:b/>
                <w:color w:val="003D80"/>
                <w:sz w:val="20"/>
                <w:szCs w:val="20"/>
                <w:lang w:val="en-US" w:eastAsia="en-CA" w:bidi="en-US"/>
              </w:rPr>
            </w:pPr>
            <w:r>
              <w:rPr>
                <w:rFonts w:eastAsia="Times New Roman" w:cs="Helvetica"/>
                <w:i/>
                <w:color w:val="141413"/>
                <w:sz w:val="18"/>
                <w:szCs w:val="14"/>
                <w:lang w:val="en-US" w:eastAsia="en-CA" w:bidi="en-US"/>
              </w:rPr>
              <w:t xml:space="preserve">The </w:t>
            </w:r>
            <w:r w:rsidRPr="0060502E">
              <w:rPr>
                <w:rFonts w:eastAsia="Times New Roman" w:cs="Helvetica"/>
                <w:i/>
                <w:color w:val="141413"/>
                <w:sz w:val="18"/>
                <w:szCs w:val="14"/>
                <w:lang w:val="en-US" w:eastAsia="en-CA" w:bidi="en-US"/>
              </w:rPr>
              <w:t xml:space="preserve"> pro</w:t>
            </w:r>
            <w:r>
              <w:rPr>
                <w:rFonts w:eastAsia="Times New Roman" w:cs="Helvetica"/>
                <w:i/>
                <w:color w:val="141413"/>
                <w:sz w:val="18"/>
                <w:szCs w:val="14"/>
                <w:lang w:val="en-US" w:eastAsia="en-CA" w:bidi="en-US"/>
              </w:rPr>
              <w:t>ject outcome</w:t>
            </w:r>
            <w:r w:rsidRPr="0060502E">
              <w:rPr>
                <w:rFonts w:eastAsia="Times New Roman" w:cs="Helvetica"/>
                <w:i/>
                <w:color w:val="141413"/>
                <w:sz w:val="18"/>
                <w:szCs w:val="14"/>
                <w:lang w:val="en-US" w:eastAsia="en-CA" w:bidi="en-US"/>
              </w:rPr>
              <w:t xml:space="preserve"> </w:t>
            </w:r>
            <w:r>
              <w:rPr>
                <w:rFonts w:eastAsia="Times New Roman" w:cs="Helvetica"/>
                <w:i/>
                <w:color w:val="141413"/>
                <w:sz w:val="18"/>
                <w:szCs w:val="14"/>
                <w:lang w:val="en-US" w:eastAsia="en-CA" w:bidi="en-US"/>
              </w:rPr>
              <w:t xml:space="preserve">or output indicators </w:t>
            </w:r>
            <w:r w:rsidRPr="0060502E">
              <w:rPr>
                <w:rFonts w:eastAsia="Times New Roman" w:cs="Helvetica"/>
                <w:i/>
                <w:color w:val="141413"/>
                <w:sz w:val="18"/>
                <w:szCs w:val="14"/>
                <w:lang w:val="en-US" w:eastAsia="en-CA" w:bidi="en-US"/>
              </w:rPr>
              <w:t>as stated in the M&amp;E Framework</w:t>
            </w:r>
            <w:r>
              <w:rPr>
                <w:rFonts w:eastAsia="Times New Roman" w:cs="Helvetica"/>
                <w:i/>
                <w:color w:val="141413"/>
                <w:sz w:val="18"/>
                <w:szCs w:val="14"/>
                <w:lang w:val="en-US" w:eastAsia="en-CA" w:bidi="en-US"/>
              </w:rPr>
              <w:t xml:space="preserve"> and/or AWP</w:t>
            </w:r>
          </w:p>
        </w:tc>
        <w:tc>
          <w:tcPr>
            <w:tcW w:w="1800" w:type="dxa"/>
            <w:shd w:val="clear" w:color="auto" w:fill="D9D9D9" w:themeFill="background1" w:themeFillShade="D9"/>
          </w:tcPr>
          <w:p w:rsidR="00A610E2" w:rsidRDefault="00296A2B" w:rsidP="002728AE">
            <w:pPr>
              <w:widowControl w:val="0"/>
              <w:tabs>
                <w:tab w:val="left" w:pos="77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8"/>
              <w:rPr>
                <w:rFonts w:eastAsia="Times New Roman" w:cs="Helvetica"/>
                <w:i/>
                <w:color w:val="141413"/>
                <w:sz w:val="18"/>
                <w:szCs w:val="14"/>
                <w:lang w:val="en-US" w:eastAsia="en-CA" w:bidi="en-US"/>
              </w:rPr>
            </w:pPr>
            <w:r w:rsidRPr="007E29E0">
              <w:rPr>
                <w:rFonts w:eastAsia="Times New Roman" w:cs="Times-Roman"/>
                <w:b/>
                <w:color w:val="003D80"/>
                <w:sz w:val="20"/>
                <w:szCs w:val="20"/>
                <w:lang w:val="en-US" w:eastAsia="en-CA" w:bidi="en-US"/>
              </w:rPr>
              <w:t>Target</w:t>
            </w:r>
            <w:r w:rsidR="00A610E2" w:rsidRPr="00A610E2">
              <w:rPr>
                <w:rFonts w:eastAsia="Times New Roman" w:cs="Helvetica"/>
                <w:i/>
                <w:color w:val="141413"/>
                <w:sz w:val="18"/>
                <w:szCs w:val="14"/>
                <w:lang w:val="en-US" w:eastAsia="en-CA" w:bidi="en-US"/>
              </w:rPr>
              <w:t xml:space="preserve"> </w:t>
            </w:r>
          </w:p>
          <w:p w:rsidR="00296A2B" w:rsidRPr="007E29E0" w:rsidRDefault="00A610E2" w:rsidP="002728AE">
            <w:pPr>
              <w:widowControl w:val="0"/>
              <w:tabs>
                <w:tab w:val="left" w:pos="77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8"/>
              <w:jc w:val="left"/>
              <w:rPr>
                <w:rFonts w:ascii="Helvetica" w:eastAsia="Times New Roman" w:hAnsi="Helvetica" w:cs="Times-Roman"/>
                <w:b/>
                <w:color w:val="003D80"/>
                <w:sz w:val="20"/>
                <w:szCs w:val="20"/>
                <w:lang w:val="en-US" w:eastAsia="en-CA" w:bidi="en-US"/>
              </w:rPr>
            </w:pPr>
            <w:r w:rsidRPr="00A610E2">
              <w:rPr>
                <w:rFonts w:eastAsia="Times New Roman" w:cs="Helvetica"/>
                <w:i/>
                <w:color w:val="141413"/>
                <w:sz w:val="18"/>
                <w:szCs w:val="14"/>
                <w:lang w:val="en-US" w:eastAsia="en-CA" w:bidi="en-US"/>
              </w:rPr>
              <w:t>Targets agreed by project team on each on each indicator</w:t>
            </w:r>
          </w:p>
        </w:tc>
        <w:tc>
          <w:tcPr>
            <w:tcW w:w="2790" w:type="dxa"/>
            <w:shd w:val="clear" w:color="auto" w:fill="D9D9D9" w:themeFill="background1" w:themeFillShade="D9"/>
          </w:tcPr>
          <w:p w:rsidR="00A610E2" w:rsidRDefault="00296A2B" w:rsidP="002728AE">
            <w:pPr>
              <w:widowControl w:val="0"/>
              <w:tabs>
                <w:tab w:val="left" w:pos="5600"/>
                <w:tab w:val="left" w:pos="6160"/>
                <w:tab w:val="left" w:pos="6192"/>
                <w:tab w:val="left" w:pos="6720"/>
              </w:tabs>
              <w:autoSpaceDE w:val="0"/>
              <w:autoSpaceDN w:val="0"/>
              <w:adjustRightInd w:val="0"/>
              <w:spacing w:after="0" w:line="240" w:lineRule="auto"/>
              <w:jc w:val="left"/>
              <w:rPr>
                <w:rFonts w:eastAsia="Times New Roman" w:cs="Helvetica"/>
                <w:i/>
                <w:color w:val="141413"/>
                <w:sz w:val="18"/>
                <w:szCs w:val="14"/>
                <w:lang w:val="en-US" w:eastAsia="en-CA" w:bidi="en-US"/>
              </w:rPr>
            </w:pPr>
            <w:r w:rsidRPr="007E29E0">
              <w:rPr>
                <w:rFonts w:eastAsia="Times New Roman" w:cs="Times-Roman"/>
                <w:b/>
                <w:color w:val="003D80"/>
                <w:sz w:val="20"/>
                <w:szCs w:val="20"/>
                <w:lang w:val="en-US" w:eastAsia="en-CA" w:bidi="en-US"/>
              </w:rPr>
              <w:t>Update on Results</w:t>
            </w:r>
            <w:r w:rsidR="00A610E2" w:rsidRPr="00A9499C">
              <w:rPr>
                <w:rFonts w:eastAsia="Times New Roman" w:cs="Helvetica"/>
                <w:i/>
                <w:color w:val="141413"/>
                <w:sz w:val="18"/>
                <w:szCs w:val="14"/>
                <w:lang w:val="en-US" w:eastAsia="en-CA" w:bidi="en-US"/>
              </w:rPr>
              <w:t xml:space="preserve"> </w:t>
            </w:r>
          </w:p>
          <w:p w:rsidR="00296A2B" w:rsidRPr="00A610E2" w:rsidRDefault="00A610E2" w:rsidP="002728AE">
            <w:pPr>
              <w:widowControl w:val="0"/>
              <w:tabs>
                <w:tab w:val="left" w:pos="5600"/>
                <w:tab w:val="left" w:pos="6160"/>
                <w:tab w:val="left" w:pos="6192"/>
                <w:tab w:val="left" w:pos="6720"/>
              </w:tabs>
              <w:autoSpaceDE w:val="0"/>
              <w:autoSpaceDN w:val="0"/>
              <w:adjustRightInd w:val="0"/>
              <w:spacing w:after="0" w:line="240" w:lineRule="auto"/>
              <w:jc w:val="left"/>
              <w:rPr>
                <w:rFonts w:eastAsia="Times New Roman" w:cs="Helvetica"/>
                <w:i/>
                <w:color w:val="141413"/>
                <w:sz w:val="18"/>
                <w:szCs w:val="14"/>
                <w:lang w:val="en-US" w:eastAsia="en-CA" w:bidi="en-US"/>
              </w:rPr>
            </w:pPr>
            <w:r w:rsidRPr="00A9499C">
              <w:rPr>
                <w:rFonts w:eastAsia="Times New Roman" w:cs="Helvetica"/>
                <w:i/>
                <w:color w:val="141413"/>
                <w:sz w:val="18"/>
                <w:szCs w:val="14"/>
                <w:lang w:val="en-US" w:eastAsia="en-CA" w:bidi="en-US"/>
              </w:rPr>
              <w:t>A</w:t>
            </w:r>
            <w:r>
              <w:rPr>
                <w:rFonts w:eastAsia="Times New Roman" w:cs="Helvetica"/>
                <w:i/>
                <w:color w:val="141413"/>
                <w:sz w:val="18"/>
                <w:szCs w:val="14"/>
                <w:lang w:val="en-US" w:eastAsia="en-CA" w:bidi="en-US"/>
              </w:rPr>
              <w:t xml:space="preserve"> </w:t>
            </w:r>
            <w:r w:rsidRPr="00A9499C">
              <w:rPr>
                <w:rFonts w:eastAsia="Times New Roman" w:cs="Helvetica"/>
                <w:i/>
                <w:color w:val="141413"/>
                <w:sz w:val="18"/>
                <w:szCs w:val="14"/>
                <w:lang w:val="en-US" w:eastAsia="en-CA" w:bidi="en-US"/>
              </w:rPr>
              <w:t xml:space="preserve">brief analysis on any relevant changes </w:t>
            </w:r>
            <w:r>
              <w:rPr>
                <w:rFonts w:eastAsia="Times New Roman" w:cs="Helvetica"/>
                <w:i/>
                <w:color w:val="141413"/>
                <w:sz w:val="18"/>
                <w:szCs w:val="14"/>
                <w:lang w:val="en-US" w:eastAsia="en-CA" w:bidi="en-US"/>
              </w:rPr>
              <w:t>pertaining to the outcome or output achieved with respect to targets</w:t>
            </w:r>
          </w:p>
        </w:tc>
        <w:tc>
          <w:tcPr>
            <w:tcW w:w="1890" w:type="dxa"/>
            <w:shd w:val="clear" w:color="auto" w:fill="D9D9D9" w:themeFill="background1" w:themeFillShade="D9"/>
          </w:tcPr>
          <w:p w:rsidR="00296A2B" w:rsidRPr="00AC40BC" w:rsidRDefault="003657C1" w:rsidP="002728AE">
            <w:pPr>
              <w:widowControl w:val="0"/>
              <w:tabs>
                <w:tab w:val="left" w:pos="279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ight="-90"/>
              <w:rPr>
                <w:rFonts w:eastAsia="Times New Roman" w:cs="Times-Roman"/>
                <w:b/>
                <w:color w:val="003D80"/>
                <w:sz w:val="20"/>
                <w:szCs w:val="20"/>
                <w:lang w:val="en-US" w:eastAsia="en-CA" w:bidi="en-US"/>
              </w:rPr>
            </w:pPr>
            <w:r>
              <w:rPr>
                <w:rFonts w:eastAsia="Times New Roman" w:cs="Times-Roman"/>
                <w:b/>
                <w:color w:val="003D80"/>
                <w:sz w:val="20"/>
                <w:szCs w:val="20"/>
                <w:lang w:val="en-US" w:eastAsia="en-CA" w:bidi="en-US"/>
              </w:rPr>
              <w:t>C</w:t>
            </w:r>
            <w:r w:rsidR="00296A2B">
              <w:rPr>
                <w:rFonts w:eastAsia="Times New Roman" w:cs="Times-Roman"/>
                <w:b/>
                <w:color w:val="003D80"/>
                <w:sz w:val="20"/>
                <w:szCs w:val="20"/>
                <w:lang w:val="en-US" w:eastAsia="en-CA" w:bidi="en-US"/>
              </w:rPr>
              <w:t>omments</w:t>
            </w:r>
          </w:p>
        </w:tc>
      </w:tr>
      <w:tr w:rsidR="00040826" w:rsidRPr="00A9499C" w:rsidTr="00D33512">
        <w:trPr>
          <w:trHeight w:val="218"/>
        </w:trPr>
        <w:tc>
          <w:tcPr>
            <w:tcW w:w="10345" w:type="dxa"/>
            <w:gridSpan w:val="5"/>
            <w:tcBorders>
              <w:top w:val="single" w:sz="4" w:space="0" w:color="FFFFFF" w:themeColor="background1"/>
            </w:tcBorders>
            <w:shd w:val="clear" w:color="auto" w:fill="D9D9D9" w:themeFill="background1" w:themeFillShade="D9"/>
          </w:tcPr>
          <w:p w:rsidR="00040826" w:rsidRPr="00040826" w:rsidRDefault="008B0719" w:rsidP="00272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Helvetica" w:eastAsia="Times New Roman" w:hAnsi="Helvetica" w:cs="Times-Roman"/>
                <w:b/>
                <w:i/>
                <w:color w:val="141413"/>
                <w:sz w:val="18"/>
                <w:szCs w:val="20"/>
                <w:lang w:val="en-US" w:eastAsia="en-CA" w:bidi="en-US"/>
              </w:rPr>
            </w:pPr>
            <w:r w:rsidRPr="008B0719">
              <w:rPr>
                <w:rFonts w:eastAsia="Times New Roman" w:cs="Times-Roman"/>
                <w:b/>
                <w:color w:val="003D80"/>
                <w:sz w:val="20"/>
                <w:szCs w:val="20"/>
                <w:lang w:val="en-US" w:eastAsia="en-CA" w:bidi="en-US"/>
              </w:rPr>
              <w:t>Outcome 1. Enabling environment for decision-making on the implementation of the Minamata Convention created.</w:t>
            </w:r>
          </w:p>
        </w:tc>
      </w:tr>
      <w:tr w:rsidR="00040826" w:rsidRPr="00A9499C" w:rsidTr="00D33512">
        <w:trPr>
          <w:trHeight w:val="182"/>
        </w:trPr>
        <w:tc>
          <w:tcPr>
            <w:tcW w:w="10345" w:type="dxa"/>
            <w:gridSpan w:val="5"/>
            <w:shd w:val="clear" w:color="auto" w:fill="D9D9D9" w:themeFill="background1" w:themeFillShade="D9"/>
          </w:tcPr>
          <w:p w:rsidR="00040826" w:rsidRPr="00A9499C" w:rsidRDefault="00040826" w:rsidP="00272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imes New Roman" w:hAnsi="Helvetica" w:cs="Times-Roman"/>
                <w:color w:val="141413"/>
                <w:sz w:val="20"/>
                <w:szCs w:val="20"/>
                <w:lang w:val="en-US" w:eastAsia="en-CA" w:bidi="en-US"/>
              </w:rPr>
            </w:pPr>
            <w:r w:rsidRPr="00040826">
              <w:rPr>
                <w:rFonts w:eastAsia="Times New Roman" w:cs="Times-Roman"/>
                <w:b/>
                <w:color w:val="003D80"/>
                <w:sz w:val="20"/>
                <w:szCs w:val="20"/>
                <w:lang w:val="en-US" w:eastAsia="en-CA" w:bidi="en-US"/>
              </w:rPr>
              <w:t xml:space="preserve">Outputs </w:t>
            </w:r>
          </w:p>
        </w:tc>
      </w:tr>
      <w:tr w:rsidR="00040826" w:rsidRPr="00A9499C" w:rsidTr="00AE246E">
        <w:trPr>
          <w:trHeight w:val="1610"/>
        </w:trPr>
        <w:tc>
          <w:tcPr>
            <w:tcW w:w="2250" w:type="dxa"/>
            <w:shd w:val="clear" w:color="auto" w:fill="auto"/>
          </w:tcPr>
          <w:p w:rsidR="002728AE" w:rsidRPr="008971AE" w:rsidRDefault="008B0719" w:rsidP="006D0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Theme="minorHAnsi" w:eastAsia="Times New Roman" w:hAnsiTheme="minorHAnsi" w:cs="Times-Roman"/>
                <w:sz w:val="18"/>
                <w:szCs w:val="18"/>
                <w:lang w:val="en-US" w:eastAsia="en-CA" w:bidi="en-US"/>
              </w:rPr>
            </w:pPr>
            <w:r w:rsidRPr="008971AE">
              <w:rPr>
                <w:rFonts w:asciiTheme="minorHAnsi" w:eastAsia="Times New Roman" w:hAnsiTheme="minorHAnsi" w:cs="Times-Roman"/>
                <w:sz w:val="18"/>
                <w:szCs w:val="18"/>
                <w:lang w:val="en-US" w:eastAsia="en-CA" w:bidi="en-US"/>
              </w:rPr>
              <w:t xml:space="preserve">1.1. Policy, regulatory framework and institutional capacity needs </w:t>
            </w:r>
            <w:proofErr w:type="gramStart"/>
            <w:r w:rsidRPr="008971AE">
              <w:rPr>
                <w:rFonts w:asciiTheme="minorHAnsi" w:eastAsia="Times New Roman" w:hAnsiTheme="minorHAnsi" w:cs="Times-Roman"/>
                <w:sz w:val="18"/>
                <w:szCs w:val="18"/>
                <w:lang w:val="en-US" w:eastAsia="en-CA" w:bidi="en-US"/>
              </w:rPr>
              <w:t>in regard to</w:t>
            </w:r>
            <w:proofErr w:type="gramEnd"/>
            <w:r w:rsidRPr="008971AE">
              <w:rPr>
                <w:rFonts w:asciiTheme="minorHAnsi" w:eastAsia="Times New Roman" w:hAnsiTheme="minorHAnsi" w:cs="Times-Roman"/>
                <w:sz w:val="18"/>
                <w:szCs w:val="18"/>
                <w:lang w:val="en-US" w:eastAsia="en-CA" w:bidi="en-US"/>
              </w:rPr>
              <w:t xml:space="preserve"> the implementation of the Convention’s provisions assessed.</w:t>
            </w:r>
          </w:p>
        </w:tc>
        <w:tc>
          <w:tcPr>
            <w:tcW w:w="1615" w:type="dxa"/>
            <w:shd w:val="clear" w:color="auto" w:fill="auto"/>
          </w:tcPr>
          <w:p w:rsidR="002728AE" w:rsidRPr="006D0F38" w:rsidRDefault="00C44FC5" w:rsidP="002728AE">
            <w:pPr>
              <w:suppressAutoHyphens/>
              <w:spacing w:after="0" w:line="240" w:lineRule="auto"/>
              <w:contextualSpacing/>
              <w:jc w:val="left"/>
              <w:rPr>
                <w:rFonts w:asciiTheme="minorHAnsi" w:eastAsia="Times New Roman" w:hAnsiTheme="minorHAnsi" w:cs="Helvetica"/>
                <w:sz w:val="18"/>
                <w:szCs w:val="14"/>
                <w:lang w:val="en-US" w:eastAsia="en-CA" w:bidi="en-US"/>
              </w:rPr>
            </w:pPr>
            <w:r>
              <w:rPr>
                <w:rFonts w:asciiTheme="minorHAnsi" w:eastAsia="Times New Roman" w:hAnsiTheme="minorHAnsi" w:cs="Helvetica"/>
                <w:sz w:val="18"/>
                <w:szCs w:val="14"/>
                <w:lang w:val="en-US" w:eastAsia="en-CA" w:bidi="en-US"/>
              </w:rPr>
              <w:t xml:space="preserve">A </w:t>
            </w:r>
            <w:r w:rsidR="008B0719" w:rsidRPr="006D0F38">
              <w:rPr>
                <w:rFonts w:asciiTheme="minorHAnsi" w:eastAsia="Times New Roman" w:hAnsiTheme="minorHAnsi" w:cs="Helvetica"/>
                <w:sz w:val="18"/>
                <w:szCs w:val="14"/>
                <w:lang w:val="en-US" w:eastAsia="en-CA" w:bidi="en-US"/>
              </w:rPr>
              <w:t xml:space="preserve">Task team </w:t>
            </w:r>
            <w:r>
              <w:rPr>
                <w:rFonts w:asciiTheme="minorHAnsi" w:eastAsia="Times New Roman" w:hAnsiTheme="minorHAnsi" w:cs="Helvetica"/>
                <w:sz w:val="18"/>
                <w:szCs w:val="14"/>
                <w:lang w:val="en-US" w:eastAsia="en-CA" w:bidi="en-US"/>
              </w:rPr>
              <w:t xml:space="preserve">constituted </w:t>
            </w:r>
            <w:r w:rsidR="008B0719" w:rsidRPr="006D0F38">
              <w:rPr>
                <w:rFonts w:asciiTheme="minorHAnsi" w:eastAsia="Times New Roman" w:hAnsiTheme="minorHAnsi" w:cs="Helvetica"/>
                <w:sz w:val="18"/>
                <w:szCs w:val="14"/>
                <w:lang w:val="en-US" w:eastAsia="en-CA" w:bidi="en-US"/>
              </w:rPr>
              <w:t xml:space="preserve">to </w:t>
            </w:r>
            <w:r w:rsidR="007409CC" w:rsidRPr="006D0F38">
              <w:rPr>
                <w:rFonts w:asciiTheme="minorHAnsi" w:eastAsia="Times New Roman" w:hAnsiTheme="minorHAnsi" w:cs="Helvetica"/>
                <w:sz w:val="18"/>
                <w:szCs w:val="14"/>
                <w:lang w:val="en-US" w:eastAsia="en-CA" w:bidi="en-US"/>
              </w:rPr>
              <w:t xml:space="preserve">review </w:t>
            </w:r>
            <w:r w:rsidR="007409CC">
              <w:rPr>
                <w:rFonts w:asciiTheme="minorHAnsi" w:eastAsia="Times New Roman" w:hAnsiTheme="minorHAnsi" w:cs="Helvetica"/>
                <w:sz w:val="18"/>
                <w:szCs w:val="14"/>
                <w:lang w:val="en-US" w:eastAsia="en-CA" w:bidi="en-US"/>
              </w:rPr>
              <w:t xml:space="preserve">legal and </w:t>
            </w:r>
            <w:r w:rsidR="008B0719" w:rsidRPr="006D0F38">
              <w:rPr>
                <w:rFonts w:asciiTheme="minorHAnsi" w:eastAsia="Times New Roman" w:hAnsiTheme="minorHAnsi" w:cs="Helvetica"/>
                <w:sz w:val="18"/>
                <w:szCs w:val="14"/>
                <w:lang w:val="en-US" w:eastAsia="en-CA" w:bidi="en-US"/>
              </w:rPr>
              <w:t xml:space="preserve">institutional </w:t>
            </w:r>
            <w:r w:rsidR="007409CC" w:rsidRPr="006D0F38">
              <w:rPr>
                <w:rFonts w:asciiTheme="minorHAnsi" w:eastAsia="Times New Roman" w:hAnsiTheme="minorHAnsi" w:cs="Helvetica"/>
                <w:sz w:val="18"/>
                <w:szCs w:val="14"/>
                <w:lang w:val="en-US" w:eastAsia="en-CA" w:bidi="en-US"/>
              </w:rPr>
              <w:t>frameworks</w:t>
            </w:r>
            <w:r w:rsidR="007409CC">
              <w:rPr>
                <w:rFonts w:asciiTheme="minorHAnsi" w:eastAsia="Times New Roman" w:hAnsiTheme="minorHAnsi" w:cs="Helvetica"/>
                <w:sz w:val="18"/>
                <w:szCs w:val="14"/>
                <w:lang w:val="en-US" w:eastAsia="en-CA" w:bidi="en-US"/>
              </w:rPr>
              <w:t xml:space="preserve"> </w:t>
            </w:r>
            <w:r w:rsidR="007409CC" w:rsidRPr="006D0F38">
              <w:rPr>
                <w:rFonts w:asciiTheme="minorHAnsi" w:eastAsia="Times New Roman" w:hAnsiTheme="minorHAnsi" w:cs="Helvetica"/>
                <w:sz w:val="18"/>
                <w:szCs w:val="14"/>
                <w:lang w:val="en-US" w:eastAsia="en-CA" w:bidi="en-US"/>
              </w:rPr>
              <w:t>to</w:t>
            </w:r>
            <w:r w:rsidR="008B0719" w:rsidRPr="006D0F38">
              <w:rPr>
                <w:rFonts w:asciiTheme="minorHAnsi" w:eastAsia="Times New Roman" w:hAnsiTheme="minorHAnsi" w:cs="Helvetica"/>
                <w:sz w:val="18"/>
                <w:szCs w:val="14"/>
                <w:lang w:val="en-US" w:eastAsia="en-CA" w:bidi="en-US"/>
              </w:rPr>
              <w:t xml:space="preserve"> identify needs and gaps for the implementation of the Minamata</w:t>
            </w:r>
          </w:p>
        </w:tc>
        <w:tc>
          <w:tcPr>
            <w:tcW w:w="1800" w:type="dxa"/>
            <w:shd w:val="clear" w:color="auto" w:fill="auto"/>
          </w:tcPr>
          <w:p w:rsidR="00B45BCC" w:rsidRPr="008971AE" w:rsidRDefault="0019741D" w:rsidP="005F29CB">
            <w:pPr>
              <w:suppressAutoHyphens/>
              <w:spacing w:after="0" w:line="240" w:lineRule="auto"/>
              <w:contextualSpacing/>
              <w:jc w:val="left"/>
              <w:rPr>
                <w:rFonts w:asciiTheme="minorHAnsi" w:eastAsia="Times New Roman" w:hAnsiTheme="minorHAnsi" w:cs="Times-Roman"/>
                <w:sz w:val="18"/>
                <w:szCs w:val="18"/>
                <w:lang w:val="en-US" w:eastAsia="en-CA" w:bidi="en-US"/>
              </w:rPr>
            </w:pPr>
            <w:r w:rsidRPr="008971AE">
              <w:rPr>
                <w:rFonts w:asciiTheme="minorHAnsi" w:eastAsia="Times New Roman" w:hAnsiTheme="minorHAnsi" w:cs="Times-Roman"/>
                <w:sz w:val="18"/>
                <w:szCs w:val="18"/>
                <w:lang w:val="en-US" w:eastAsia="en-CA" w:bidi="en-US"/>
              </w:rPr>
              <w:t xml:space="preserve">Have a final report </w:t>
            </w:r>
            <w:r w:rsidR="007409CC">
              <w:rPr>
                <w:rFonts w:asciiTheme="minorHAnsi" w:eastAsia="Times New Roman" w:hAnsiTheme="minorHAnsi" w:cs="Times-Roman"/>
                <w:sz w:val="18"/>
                <w:szCs w:val="18"/>
                <w:lang w:val="en-US" w:eastAsia="en-CA" w:bidi="en-US"/>
              </w:rPr>
              <w:t xml:space="preserve">by the end of 2017 </w:t>
            </w:r>
            <w:r w:rsidRPr="008971AE">
              <w:rPr>
                <w:rFonts w:asciiTheme="minorHAnsi" w:eastAsia="Times New Roman" w:hAnsiTheme="minorHAnsi" w:cs="Times-Roman"/>
                <w:sz w:val="18"/>
                <w:szCs w:val="18"/>
                <w:lang w:val="en-US" w:eastAsia="en-CA" w:bidi="en-US"/>
              </w:rPr>
              <w:t xml:space="preserve">on the existing institutional and legal frameworks </w:t>
            </w:r>
            <w:r w:rsidR="00390055">
              <w:rPr>
                <w:rFonts w:asciiTheme="minorHAnsi" w:eastAsia="Times New Roman" w:hAnsiTheme="minorHAnsi" w:cs="Times-Roman"/>
                <w:sz w:val="18"/>
                <w:szCs w:val="18"/>
                <w:lang w:val="en-US" w:eastAsia="en-CA" w:bidi="en-US"/>
              </w:rPr>
              <w:t xml:space="preserve">on mercury management </w:t>
            </w:r>
            <w:r w:rsidRPr="008971AE">
              <w:rPr>
                <w:rFonts w:asciiTheme="minorHAnsi" w:eastAsia="Times New Roman" w:hAnsiTheme="minorHAnsi" w:cs="Times-Roman"/>
                <w:sz w:val="18"/>
                <w:szCs w:val="18"/>
                <w:lang w:val="en-US" w:eastAsia="en-CA" w:bidi="en-US"/>
              </w:rPr>
              <w:t>an</w:t>
            </w:r>
            <w:r w:rsidR="00390055">
              <w:rPr>
                <w:rFonts w:asciiTheme="minorHAnsi" w:eastAsia="Times New Roman" w:hAnsiTheme="minorHAnsi" w:cs="Times-Roman"/>
                <w:sz w:val="18"/>
                <w:szCs w:val="18"/>
                <w:lang w:val="en-US" w:eastAsia="en-CA" w:bidi="en-US"/>
              </w:rPr>
              <w:t>d the</w:t>
            </w:r>
            <w:r w:rsidRPr="008971AE">
              <w:rPr>
                <w:rFonts w:asciiTheme="minorHAnsi" w:eastAsia="Times New Roman" w:hAnsiTheme="minorHAnsi" w:cs="Times-Roman"/>
                <w:sz w:val="18"/>
                <w:szCs w:val="18"/>
                <w:lang w:val="en-US" w:eastAsia="en-CA" w:bidi="en-US"/>
              </w:rPr>
              <w:t xml:space="preserve"> gaps that needs to be filled for the implementation of the Minamata Convention in Ghana </w:t>
            </w:r>
          </w:p>
        </w:tc>
        <w:tc>
          <w:tcPr>
            <w:tcW w:w="2790" w:type="dxa"/>
            <w:shd w:val="clear" w:color="auto" w:fill="auto"/>
          </w:tcPr>
          <w:p w:rsidR="00040826" w:rsidRPr="00076458" w:rsidRDefault="00460077" w:rsidP="005F29CB">
            <w:pPr>
              <w:suppressAutoHyphens/>
              <w:spacing w:after="0" w:line="240" w:lineRule="auto"/>
              <w:contextualSpacing/>
              <w:jc w:val="left"/>
              <w:rPr>
                <w:rFonts w:eastAsia="Times New Roman"/>
                <w:spacing w:val="-2"/>
                <w:kern w:val="16"/>
                <w:position w:val="-2"/>
                <w:sz w:val="18"/>
                <w:szCs w:val="18"/>
                <w:lang w:val="en-US"/>
              </w:rPr>
            </w:pPr>
            <w:r w:rsidRPr="00076458">
              <w:rPr>
                <w:rFonts w:eastAsia="Times New Roman"/>
                <w:spacing w:val="-2"/>
                <w:kern w:val="16"/>
                <w:position w:val="-2"/>
                <w:sz w:val="18"/>
                <w:szCs w:val="18"/>
                <w:lang w:val="en-US"/>
              </w:rPr>
              <w:t>An assessment on th</w:t>
            </w:r>
            <w:r w:rsidR="00076458" w:rsidRPr="00076458">
              <w:rPr>
                <w:rFonts w:eastAsia="Times New Roman"/>
                <w:spacing w:val="-2"/>
                <w:kern w:val="16"/>
                <w:position w:val="-2"/>
                <w:sz w:val="18"/>
                <w:szCs w:val="18"/>
                <w:lang w:val="en-US"/>
              </w:rPr>
              <w:t>e</w:t>
            </w:r>
            <w:r w:rsidRPr="00076458">
              <w:rPr>
                <w:rFonts w:eastAsia="Times New Roman"/>
                <w:spacing w:val="-2"/>
                <w:kern w:val="16"/>
                <w:position w:val="-2"/>
                <w:sz w:val="18"/>
                <w:szCs w:val="18"/>
                <w:lang w:val="en-US"/>
              </w:rPr>
              <w:t xml:space="preserve"> </w:t>
            </w:r>
            <w:r w:rsidR="00076458" w:rsidRPr="00076458">
              <w:rPr>
                <w:rFonts w:eastAsia="Times New Roman"/>
                <w:spacing w:val="-2"/>
                <w:kern w:val="16"/>
                <w:position w:val="-2"/>
                <w:sz w:val="18"/>
                <w:szCs w:val="18"/>
                <w:lang w:val="en-US"/>
              </w:rPr>
              <w:t>existing</w:t>
            </w:r>
            <w:r w:rsidRPr="00076458">
              <w:rPr>
                <w:rFonts w:eastAsia="Times New Roman"/>
                <w:spacing w:val="-2"/>
                <w:kern w:val="16"/>
                <w:position w:val="-2"/>
                <w:sz w:val="18"/>
                <w:szCs w:val="18"/>
                <w:lang w:val="en-US"/>
              </w:rPr>
              <w:t xml:space="preserve"> legal and </w:t>
            </w:r>
            <w:r w:rsidR="00076458" w:rsidRPr="00076458">
              <w:rPr>
                <w:rFonts w:eastAsia="Times New Roman"/>
                <w:spacing w:val="-2"/>
                <w:kern w:val="16"/>
                <w:position w:val="-2"/>
                <w:sz w:val="18"/>
                <w:szCs w:val="18"/>
                <w:lang w:val="en-US"/>
              </w:rPr>
              <w:t>institutional</w:t>
            </w:r>
            <w:r w:rsidRPr="00076458">
              <w:rPr>
                <w:rFonts w:eastAsia="Times New Roman"/>
                <w:spacing w:val="-2"/>
                <w:kern w:val="16"/>
                <w:position w:val="-2"/>
                <w:sz w:val="18"/>
                <w:szCs w:val="18"/>
                <w:lang w:val="en-US"/>
              </w:rPr>
              <w:t xml:space="preserve"> frameworks </w:t>
            </w:r>
            <w:r w:rsidR="00076458" w:rsidRPr="00076458">
              <w:rPr>
                <w:rFonts w:eastAsia="Times New Roman"/>
                <w:spacing w:val="-2"/>
                <w:kern w:val="16"/>
                <w:position w:val="-2"/>
                <w:sz w:val="18"/>
                <w:szCs w:val="18"/>
                <w:lang w:val="en-US"/>
              </w:rPr>
              <w:t>have been completed by a legal consultant.</w:t>
            </w:r>
            <w:r w:rsidR="00076458">
              <w:rPr>
                <w:rFonts w:eastAsia="Times New Roman"/>
                <w:spacing w:val="-2"/>
                <w:kern w:val="16"/>
                <w:position w:val="-2"/>
                <w:sz w:val="18"/>
                <w:szCs w:val="18"/>
                <w:lang w:val="en-US"/>
              </w:rPr>
              <w:t xml:space="preserve"> The findings of the report shall be used for the development of the Minamata Initial Assessment Report for Ghana in 2018. </w:t>
            </w:r>
          </w:p>
        </w:tc>
        <w:tc>
          <w:tcPr>
            <w:tcW w:w="1890" w:type="dxa"/>
            <w:shd w:val="clear" w:color="auto" w:fill="auto"/>
          </w:tcPr>
          <w:p w:rsidR="00CE5CC8" w:rsidRPr="005F29CB" w:rsidRDefault="00CE5CC8" w:rsidP="005F29CB">
            <w:pPr>
              <w:suppressAutoHyphens/>
              <w:spacing w:after="0" w:line="240" w:lineRule="auto"/>
              <w:contextualSpacing/>
              <w:jc w:val="left"/>
              <w:rPr>
                <w:rFonts w:eastAsia="Times New Roman"/>
                <w:spacing w:val="-2"/>
                <w:kern w:val="16"/>
                <w:position w:val="-2"/>
                <w:sz w:val="20"/>
                <w:szCs w:val="20"/>
                <w:lang w:val="en-US"/>
              </w:rPr>
            </w:pPr>
          </w:p>
        </w:tc>
      </w:tr>
      <w:tr w:rsidR="002728AE" w:rsidRPr="00A9499C" w:rsidTr="008971AE">
        <w:trPr>
          <w:trHeight w:val="1676"/>
        </w:trPr>
        <w:tc>
          <w:tcPr>
            <w:tcW w:w="2250" w:type="dxa"/>
            <w:tcBorders>
              <w:bottom w:val="single" w:sz="4" w:space="0" w:color="auto"/>
            </w:tcBorders>
            <w:shd w:val="clear" w:color="auto" w:fill="auto"/>
          </w:tcPr>
          <w:p w:rsidR="005F29CB" w:rsidRPr="008971AE" w:rsidRDefault="008B0719" w:rsidP="006D0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Theme="minorHAnsi" w:eastAsia="Times New Roman" w:hAnsiTheme="minorHAnsi" w:cs="Times-Roman"/>
                <w:sz w:val="18"/>
                <w:szCs w:val="18"/>
                <w:lang w:val="en-US" w:eastAsia="en-CA" w:bidi="en-US"/>
              </w:rPr>
            </w:pPr>
            <w:r w:rsidRPr="008971AE">
              <w:rPr>
                <w:rFonts w:asciiTheme="minorHAnsi" w:eastAsia="Times New Roman" w:hAnsiTheme="minorHAnsi" w:cs="Times-Roman"/>
                <w:sz w:val="18"/>
                <w:szCs w:val="18"/>
                <w:lang w:val="en-US" w:eastAsia="en-CA" w:bidi="en-US"/>
              </w:rPr>
              <w:t>1.2 Awareness on the environmental and health impact of mercury raised</w:t>
            </w:r>
          </w:p>
        </w:tc>
        <w:tc>
          <w:tcPr>
            <w:tcW w:w="1615" w:type="dxa"/>
            <w:tcBorders>
              <w:bottom w:val="single" w:sz="4" w:space="0" w:color="auto"/>
            </w:tcBorders>
            <w:shd w:val="clear" w:color="auto" w:fill="auto"/>
          </w:tcPr>
          <w:p w:rsidR="002728AE" w:rsidRPr="000976A4" w:rsidRDefault="008B0719" w:rsidP="005F2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Theme="minorHAnsi" w:hAnsiTheme="minorHAnsi"/>
                <w:spacing w:val="-2"/>
                <w:kern w:val="16"/>
                <w:position w:val="-2"/>
                <w:sz w:val="18"/>
                <w:szCs w:val="18"/>
                <w:lang w:val="en-US"/>
              </w:rPr>
            </w:pPr>
            <w:r w:rsidRPr="000976A4">
              <w:rPr>
                <w:rFonts w:asciiTheme="minorHAnsi" w:hAnsiTheme="minorHAnsi"/>
                <w:spacing w:val="-2"/>
                <w:kern w:val="16"/>
                <w:position w:val="-2"/>
                <w:sz w:val="18"/>
                <w:szCs w:val="18"/>
                <w:lang w:val="en-US"/>
              </w:rPr>
              <w:t>Raise awareness on the impact of mercury on health and environment</w:t>
            </w:r>
          </w:p>
        </w:tc>
        <w:tc>
          <w:tcPr>
            <w:tcW w:w="1800" w:type="dxa"/>
            <w:tcBorders>
              <w:bottom w:val="single" w:sz="4" w:space="0" w:color="auto"/>
            </w:tcBorders>
            <w:shd w:val="clear" w:color="auto" w:fill="auto"/>
          </w:tcPr>
          <w:p w:rsidR="002728AE" w:rsidRPr="008971AE" w:rsidRDefault="0019741D" w:rsidP="005F29CB">
            <w:pPr>
              <w:suppressAutoHyphens/>
              <w:spacing w:after="0" w:line="240" w:lineRule="auto"/>
              <w:contextualSpacing/>
              <w:jc w:val="left"/>
              <w:rPr>
                <w:rFonts w:asciiTheme="minorHAnsi" w:hAnsiTheme="minorHAnsi"/>
                <w:spacing w:val="-2"/>
                <w:kern w:val="16"/>
                <w:position w:val="-2"/>
                <w:sz w:val="18"/>
                <w:szCs w:val="18"/>
              </w:rPr>
            </w:pPr>
            <w:r w:rsidRPr="008971AE">
              <w:rPr>
                <w:rFonts w:asciiTheme="minorHAnsi" w:hAnsiTheme="minorHAnsi"/>
                <w:spacing w:val="-2"/>
                <w:kern w:val="16"/>
                <w:position w:val="-2"/>
                <w:sz w:val="18"/>
                <w:szCs w:val="18"/>
              </w:rPr>
              <w:t>Produce knowledge materials to be used in awareness raising awareness on adverse impacts of mercury on human health and the environment</w:t>
            </w:r>
          </w:p>
        </w:tc>
        <w:tc>
          <w:tcPr>
            <w:tcW w:w="2790" w:type="dxa"/>
            <w:tcBorders>
              <w:bottom w:val="single" w:sz="4" w:space="0" w:color="auto"/>
            </w:tcBorders>
            <w:shd w:val="clear" w:color="auto" w:fill="auto"/>
          </w:tcPr>
          <w:p w:rsidR="002728AE" w:rsidRPr="00BE6F53" w:rsidRDefault="00BE6F53" w:rsidP="005F29CB">
            <w:pPr>
              <w:suppressAutoHyphens/>
              <w:spacing w:after="0" w:line="240" w:lineRule="auto"/>
              <w:contextualSpacing/>
              <w:jc w:val="left"/>
              <w:rPr>
                <w:rFonts w:eastAsia="Times New Roman"/>
                <w:spacing w:val="-2"/>
                <w:kern w:val="16"/>
                <w:position w:val="-2"/>
                <w:sz w:val="18"/>
                <w:szCs w:val="18"/>
                <w:lang w:val="en-US"/>
              </w:rPr>
            </w:pPr>
            <w:r w:rsidRPr="00BE6F53">
              <w:rPr>
                <w:rFonts w:eastAsia="Times New Roman"/>
                <w:spacing w:val="-2"/>
                <w:kern w:val="16"/>
                <w:position w:val="-2"/>
                <w:sz w:val="18"/>
                <w:szCs w:val="18"/>
                <w:lang w:val="en-US"/>
              </w:rPr>
              <w:t xml:space="preserve">UNITAR with </w:t>
            </w:r>
            <w:r>
              <w:rPr>
                <w:rFonts w:eastAsia="Times New Roman"/>
                <w:spacing w:val="-2"/>
                <w:kern w:val="16"/>
                <w:position w:val="-2"/>
                <w:sz w:val="18"/>
                <w:szCs w:val="18"/>
                <w:lang w:val="en-US"/>
              </w:rPr>
              <w:t>the s</w:t>
            </w:r>
            <w:r w:rsidRPr="00BE6F53">
              <w:rPr>
                <w:rFonts w:eastAsia="Times New Roman"/>
                <w:spacing w:val="-2"/>
                <w:kern w:val="16"/>
                <w:position w:val="-2"/>
                <w:sz w:val="18"/>
                <w:szCs w:val="18"/>
                <w:lang w:val="en-US"/>
              </w:rPr>
              <w:t xml:space="preserve">upport of experts from EPA and UNDP </w:t>
            </w:r>
            <w:r>
              <w:rPr>
                <w:rFonts w:eastAsia="Times New Roman"/>
                <w:spacing w:val="-2"/>
                <w:kern w:val="16"/>
                <w:position w:val="-2"/>
                <w:sz w:val="18"/>
                <w:szCs w:val="18"/>
                <w:lang w:val="en-US"/>
              </w:rPr>
              <w:t>have developed materials for awareness raising on mercury reduction.</w:t>
            </w:r>
            <w:r w:rsidR="000731B5">
              <w:rPr>
                <w:rFonts w:eastAsia="Times New Roman"/>
                <w:spacing w:val="-2"/>
                <w:kern w:val="16"/>
                <w:position w:val="-2"/>
                <w:sz w:val="18"/>
                <w:szCs w:val="18"/>
                <w:lang w:val="en-US"/>
              </w:rPr>
              <w:t xml:space="preserve"> Materials are expected to be supplied to EPA in February 2018. </w:t>
            </w:r>
            <w:r>
              <w:rPr>
                <w:rFonts w:eastAsia="Times New Roman"/>
                <w:spacing w:val="-2"/>
                <w:kern w:val="16"/>
                <w:position w:val="-2"/>
                <w:sz w:val="18"/>
                <w:szCs w:val="18"/>
                <w:lang w:val="en-US"/>
              </w:rPr>
              <w:t xml:space="preserve"> </w:t>
            </w:r>
          </w:p>
        </w:tc>
        <w:tc>
          <w:tcPr>
            <w:tcW w:w="1890" w:type="dxa"/>
            <w:tcBorders>
              <w:bottom w:val="single" w:sz="4" w:space="0" w:color="auto"/>
            </w:tcBorders>
            <w:shd w:val="clear" w:color="auto" w:fill="auto"/>
          </w:tcPr>
          <w:p w:rsidR="00802FE0" w:rsidRPr="005F29CB" w:rsidRDefault="00802FE0" w:rsidP="005F29CB">
            <w:pPr>
              <w:suppressAutoHyphens/>
              <w:spacing w:after="0" w:line="240" w:lineRule="auto"/>
              <w:jc w:val="left"/>
              <w:rPr>
                <w:spacing w:val="-2"/>
                <w:kern w:val="16"/>
                <w:position w:val="-2"/>
                <w:sz w:val="20"/>
                <w:szCs w:val="20"/>
              </w:rPr>
            </w:pPr>
          </w:p>
        </w:tc>
      </w:tr>
      <w:tr w:rsidR="008B0719" w:rsidRPr="00A9499C" w:rsidTr="008971AE">
        <w:trPr>
          <w:trHeight w:val="362"/>
        </w:trPr>
        <w:tc>
          <w:tcPr>
            <w:tcW w:w="10345" w:type="dxa"/>
            <w:gridSpan w:val="5"/>
            <w:shd w:val="clear" w:color="auto" w:fill="BFBFBF" w:themeFill="background1" w:themeFillShade="BF"/>
          </w:tcPr>
          <w:p w:rsidR="008B0719" w:rsidRPr="002978DF" w:rsidRDefault="008B0719" w:rsidP="008B0719">
            <w:pPr>
              <w:suppressAutoHyphens/>
              <w:spacing w:after="0" w:line="240" w:lineRule="auto"/>
              <w:jc w:val="left"/>
              <w:rPr>
                <w:b/>
                <w:color w:val="1F497D" w:themeColor="text2"/>
                <w:spacing w:val="-2"/>
                <w:kern w:val="16"/>
                <w:position w:val="-2"/>
                <w:sz w:val="20"/>
                <w:szCs w:val="20"/>
              </w:rPr>
            </w:pPr>
            <w:r w:rsidRPr="002978DF">
              <w:rPr>
                <w:b/>
                <w:color w:val="1F497D" w:themeColor="text2"/>
                <w:spacing w:val="-2"/>
                <w:kern w:val="16"/>
                <w:position w:val="-2"/>
                <w:sz w:val="20"/>
                <w:szCs w:val="20"/>
              </w:rPr>
              <w:t>Outcome 2. National Mercury Profile and Minamata Initial Assessment Report developed.</w:t>
            </w:r>
          </w:p>
        </w:tc>
      </w:tr>
      <w:tr w:rsidR="005F29CB" w:rsidRPr="00A9499C" w:rsidTr="00367DE2">
        <w:trPr>
          <w:trHeight w:val="1100"/>
        </w:trPr>
        <w:tc>
          <w:tcPr>
            <w:tcW w:w="2250" w:type="dxa"/>
            <w:shd w:val="clear" w:color="auto" w:fill="auto"/>
          </w:tcPr>
          <w:p w:rsidR="005F29CB" w:rsidRPr="008971AE" w:rsidRDefault="008B0719" w:rsidP="006D0F38">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50"/>
              <w:jc w:val="left"/>
              <w:rPr>
                <w:rFonts w:eastAsia="Times New Roman"/>
                <w:sz w:val="18"/>
                <w:szCs w:val="18"/>
                <w:lang w:eastAsia="ar-SA"/>
              </w:rPr>
            </w:pPr>
            <w:r w:rsidRPr="008971AE">
              <w:rPr>
                <w:rFonts w:eastAsia="Times New Roman"/>
                <w:sz w:val="18"/>
                <w:szCs w:val="18"/>
                <w:lang w:eastAsia="ar-SA"/>
              </w:rPr>
              <w:t>National capacities to undertake the mercury inventory built</w:t>
            </w:r>
          </w:p>
          <w:p w:rsidR="008B0719" w:rsidRPr="008971AE" w:rsidRDefault="008B0719" w:rsidP="008B071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b/>
                <w:sz w:val="18"/>
                <w:szCs w:val="18"/>
                <w:lang w:eastAsia="ar-SA"/>
              </w:rPr>
            </w:pPr>
          </w:p>
        </w:tc>
        <w:tc>
          <w:tcPr>
            <w:tcW w:w="1615" w:type="dxa"/>
            <w:shd w:val="clear" w:color="auto" w:fill="auto"/>
          </w:tcPr>
          <w:p w:rsidR="005F29CB" w:rsidRPr="008971AE" w:rsidRDefault="008B0719" w:rsidP="005F2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spacing w:val="-2"/>
                <w:kern w:val="16"/>
                <w:position w:val="-2"/>
                <w:sz w:val="18"/>
                <w:szCs w:val="18"/>
                <w:lang w:val="en-US"/>
              </w:rPr>
            </w:pPr>
            <w:r w:rsidRPr="008971AE">
              <w:rPr>
                <w:spacing w:val="-2"/>
                <w:kern w:val="16"/>
                <w:position w:val="-2"/>
                <w:sz w:val="18"/>
                <w:szCs w:val="18"/>
                <w:lang w:val="en-US"/>
              </w:rPr>
              <w:t>Train national experts to conduct mercury inventory</w:t>
            </w:r>
          </w:p>
        </w:tc>
        <w:tc>
          <w:tcPr>
            <w:tcW w:w="1800" w:type="dxa"/>
            <w:shd w:val="clear" w:color="auto" w:fill="auto"/>
          </w:tcPr>
          <w:p w:rsidR="005F29CB" w:rsidRPr="008971AE" w:rsidRDefault="0019741D" w:rsidP="005F29CB">
            <w:pPr>
              <w:suppressAutoHyphens/>
              <w:spacing w:after="0" w:line="240" w:lineRule="auto"/>
              <w:contextualSpacing/>
              <w:jc w:val="left"/>
              <w:rPr>
                <w:spacing w:val="-2"/>
                <w:kern w:val="16"/>
                <w:position w:val="-2"/>
                <w:sz w:val="18"/>
                <w:szCs w:val="18"/>
              </w:rPr>
            </w:pPr>
            <w:r w:rsidRPr="008971AE">
              <w:rPr>
                <w:spacing w:val="-2"/>
                <w:kern w:val="16"/>
                <w:position w:val="-2"/>
                <w:sz w:val="18"/>
                <w:szCs w:val="18"/>
              </w:rPr>
              <w:t>Provide national experts</w:t>
            </w:r>
            <w:r w:rsidR="007409CC">
              <w:rPr>
                <w:spacing w:val="-2"/>
                <w:kern w:val="16"/>
                <w:position w:val="-2"/>
                <w:sz w:val="18"/>
                <w:szCs w:val="18"/>
              </w:rPr>
              <w:t xml:space="preserve"> selected by EPA </w:t>
            </w:r>
            <w:r w:rsidRPr="008971AE">
              <w:rPr>
                <w:spacing w:val="-2"/>
                <w:kern w:val="16"/>
                <w:position w:val="-2"/>
                <w:sz w:val="18"/>
                <w:szCs w:val="18"/>
              </w:rPr>
              <w:t xml:space="preserve"> with adequate training and information to undertake nationwide inventory on mercury uses a</w:t>
            </w:r>
            <w:r w:rsidR="00F35A1A">
              <w:rPr>
                <w:spacing w:val="-2"/>
                <w:kern w:val="16"/>
                <w:position w:val="-2"/>
                <w:sz w:val="18"/>
                <w:szCs w:val="18"/>
              </w:rPr>
              <w:t>n</w:t>
            </w:r>
            <w:r w:rsidRPr="008971AE">
              <w:rPr>
                <w:spacing w:val="-2"/>
                <w:kern w:val="16"/>
                <w:position w:val="-2"/>
                <w:sz w:val="18"/>
                <w:szCs w:val="18"/>
              </w:rPr>
              <w:t>d sources</w:t>
            </w:r>
          </w:p>
        </w:tc>
        <w:tc>
          <w:tcPr>
            <w:tcW w:w="2790" w:type="dxa"/>
            <w:shd w:val="clear" w:color="auto" w:fill="auto"/>
          </w:tcPr>
          <w:p w:rsidR="005F29CB" w:rsidRPr="00F35A1A" w:rsidRDefault="00F35A1A" w:rsidP="005F29CB">
            <w:pPr>
              <w:suppressAutoHyphens/>
              <w:spacing w:after="0" w:line="240" w:lineRule="auto"/>
              <w:contextualSpacing/>
              <w:jc w:val="left"/>
              <w:rPr>
                <w:rFonts w:eastAsia="Times New Roman"/>
                <w:spacing w:val="-2"/>
                <w:kern w:val="16"/>
                <w:position w:val="-2"/>
                <w:sz w:val="18"/>
                <w:szCs w:val="18"/>
                <w:lang w:val="en-US"/>
              </w:rPr>
            </w:pPr>
            <w:r w:rsidRPr="00F35A1A">
              <w:rPr>
                <w:rFonts w:eastAsia="Times New Roman"/>
                <w:spacing w:val="-2"/>
                <w:kern w:val="16"/>
                <w:position w:val="-2"/>
                <w:sz w:val="18"/>
                <w:szCs w:val="18"/>
                <w:lang w:val="en-US"/>
              </w:rPr>
              <w:t>Seven</w:t>
            </w:r>
            <w:r>
              <w:rPr>
                <w:rFonts w:eastAsia="Times New Roman"/>
                <w:spacing w:val="-2"/>
                <w:kern w:val="16"/>
                <w:position w:val="-2"/>
                <w:sz w:val="18"/>
                <w:szCs w:val="18"/>
                <w:lang w:val="en-US"/>
              </w:rPr>
              <w:t xml:space="preserve"> </w:t>
            </w:r>
            <w:r w:rsidRPr="00F35A1A">
              <w:rPr>
                <w:rFonts w:eastAsia="Times New Roman"/>
                <w:spacing w:val="-2"/>
                <w:kern w:val="16"/>
                <w:position w:val="-2"/>
                <w:sz w:val="18"/>
                <w:szCs w:val="18"/>
                <w:lang w:val="en-US"/>
              </w:rPr>
              <w:t>(7) national officers from EPA, GAEC</w:t>
            </w:r>
            <w:r>
              <w:rPr>
                <w:rFonts w:eastAsia="Times New Roman"/>
                <w:spacing w:val="-2"/>
                <w:kern w:val="16"/>
                <w:position w:val="-2"/>
                <w:sz w:val="18"/>
                <w:szCs w:val="18"/>
                <w:lang w:val="en-US"/>
              </w:rPr>
              <w:t xml:space="preserve"> and</w:t>
            </w:r>
            <w:r w:rsidRPr="00F35A1A">
              <w:rPr>
                <w:rFonts w:eastAsia="Times New Roman"/>
                <w:spacing w:val="-2"/>
                <w:kern w:val="16"/>
                <w:position w:val="-2"/>
                <w:sz w:val="18"/>
                <w:szCs w:val="18"/>
                <w:lang w:val="en-US"/>
              </w:rPr>
              <w:t xml:space="preserve"> KNUST were given training on </w:t>
            </w:r>
            <w:r>
              <w:rPr>
                <w:rFonts w:eastAsia="Times New Roman"/>
                <w:spacing w:val="-2"/>
                <w:kern w:val="16"/>
                <w:position w:val="-2"/>
                <w:sz w:val="18"/>
                <w:szCs w:val="18"/>
                <w:lang w:val="en-US"/>
              </w:rPr>
              <w:t xml:space="preserve">the usage of the </w:t>
            </w:r>
            <w:r w:rsidRPr="00F35A1A">
              <w:rPr>
                <w:rFonts w:eastAsia="Times New Roman"/>
                <w:spacing w:val="-2"/>
                <w:kern w:val="16"/>
                <w:position w:val="-2"/>
                <w:sz w:val="18"/>
                <w:szCs w:val="18"/>
                <w:lang w:val="en-US"/>
              </w:rPr>
              <w:t xml:space="preserve">UNEP </w:t>
            </w:r>
            <w:r>
              <w:rPr>
                <w:rFonts w:eastAsia="Times New Roman"/>
                <w:spacing w:val="-2"/>
                <w:kern w:val="16"/>
                <w:position w:val="-2"/>
                <w:sz w:val="18"/>
                <w:szCs w:val="18"/>
                <w:lang w:val="en-US"/>
              </w:rPr>
              <w:t xml:space="preserve">Inventory </w:t>
            </w:r>
            <w:r w:rsidRPr="00F35A1A">
              <w:rPr>
                <w:rFonts w:eastAsia="Times New Roman"/>
                <w:spacing w:val="-2"/>
                <w:kern w:val="16"/>
                <w:position w:val="-2"/>
                <w:sz w:val="18"/>
                <w:szCs w:val="18"/>
                <w:lang w:val="en-US"/>
              </w:rPr>
              <w:t xml:space="preserve">toolkits </w:t>
            </w:r>
            <w:r>
              <w:rPr>
                <w:rFonts w:eastAsia="Times New Roman"/>
                <w:spacing w:val="-2"/>
                <w:kern w:val="16"/>
                <w:position w:val="-2"/>
                <w:sz w:val="18"/>
                <w:szCs w:val="18"/>
                <w:lang w:val="en-US"/>
              </w:rPr>
              <w:t xml:space="preserve">in undertaking mercury inventory </w:t>
            </w:r>
          </w:p>
        </w:tc>
        <w:tc>
          <w:tcPr>
            <w:tcW w:w="1890" w:type="dxa"/>
            <w:shd w:val="clear" w:color="auto" w:fill="auto"/>
          </w:tcPr>
          <w:p w:rsidR="005F29CB" w:rsidRPr="005F29CB" w:rsidRDefault="005F29CB" w:rsidP="005F29CB">
            <w:pPr>
              <w:suppressAutoHyphens/>
              <w:spacing w:after="0" w:line="240" w:lineRule="auto"/>
              <w:jc w:val="left"/>
              <w:rPr>
                <w:spacing w:val="-2"/>
                <w:kern w:val="16"/>
                <w:position w:val="-2"/>
                <w:sz w:val="20"/>
                <w:szCs w:val="20"/>
              </w:rPr>
            </w:pPr>
          </w:p>
        </w:tc>
      </w:tr>
      <w:tr w:rsidR="008B0719" w:rsidRPr="00A9499C" w:rsidTr="008971AE">
        <w:trPr>
          <w:trHeight w:val="1028"/>
        </w:trPr>
        <w:tc>
          <w:tcPr>
            <w:tcW w:w="2250" w:type="dxa"/>
            <w:tcBorders>
              <w:bottom w:val="single" w:sz="4" w:space="0" w:color="auto"/>
            </w:tcBorders>
            <w:shd w:val="clear" w:color="auto" w:fill="auto"/>
          </w:tcPr>
          <w:p w:rsidR="008B0719" w:rsidRPr="008971AE" w:rsidRDefault="008B0719" w:rsidP="008B0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b/>
                <w:sz w:val="18"/>
                <w:szCs w:val="18"/>
                <w:lang w:eastAsia="ar-SA"/>
              </w:rPr>
            </w:pPr>
            <w:r w:rsidRPr="00CD14B5">
              <w:rPr>
                <w:rFonts w:eastAsia="Times New Roman"/>
                <w:sz w:val="18"/>
                <w:szCs w:val="18"/>
                <w:lang w:eastAsia="ar-SA"/>
              </w:rPr>
              <w:t>2.2</w:t>
            </w:r>
            <w:r w:rsidRPr="008971AE">
              <w:rPr>
                <w:rFonts w:eastAsia="Times New Roman"/>
                <w:b/>
                <w:sz w:val="18"/>
                <w:szCs w:val="18"/>
                <w:lang w:eastAsia="ar-SA"/>
              </w:rPr>
              <w:t xml:space="preserve"> </w:t>
            </w:r>
            <w:r w:rsidRPr="008971AE">
              <w:rPr>
                <w:rFonts w:eastAsia="Times New Roman"/>
                <w:sz w:val="18"/>
                <w:szCs w:val="18"/>
                <w:lang w:eastAsia="ar-SA"/>
              </w:rPr>
              <w:t>Mercury inventory conducted and National Mercury profile prepared</w:t>
            </w:r>
          </w:p>
        </w:tc>
        <w:tc>
          <w:tcPr>
            <w:tcW w:w="1615" w:type="dxa"/>
            <w:tcBorders>
              <w:bottom w:val="single" w:sz="4" w:space="0" w:color="auto"/>
            </w:tcBorders>
            <w:shd w:val="clear" w:color="auto" w:fill="auto"/>
          </w:tcPr>
          <w:p w:rsidR="008B0719" w:rsidRPr="008971AE" w:rsidRDefault="008B0719" w:rsidP="005F2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spacing w:val="-2"/>
                <w:kern w:val="16"/>
                <w:position w:val="-2"/>
                <w:sz w:val="18"/>
                <w:szCs w:val="18"/>
                <w:lang w:val="en-US"/>
              </w:rPr>
            </w:pPr>
            <w:r w:rsidRPr="008971AE">
              <w:rPr>
                <w:spacing w:val="-2"/>
                <w:kern w:val="16"/>
                <w:position w:val="-2"/>
                <w:sz w:val="18"/>
                <w:szCs w:val="18"/>
                <w:lang w:val="en-US"/>
              </w:rPr>
              <w:t>National experts to conduct inventory on national mercury releases</w:t>
            </w:r>
          </w:p>
        </w:tc>
        <w:tc>
          <w:tcPr>
            <w:tcW w:w="1800" w:type="dxa"/>
            <w:tcBorders>
              <w:bottom w:val="single" w:sz="4" w:space="0" w:color="auto"/>
            </w:tcBorders>
            <w:shd w:val="clear" w:color="auto" w:fill="auto"/>
          </w:tcPr>
          <w:p w:rsidR="008B0719" w:rsidRPr="008971AE" w:rsidRDefault="0019741D" w:rsidP="005F29CB">
            <w:pPr>
              <w:suppressAutoHyphens/>
              <w:spacing w:after="0" w:line="240" w:lineRule="auto"/>
              <w:contextualSpacing/>
              <w:jc w:val="left"/>
              <w:rPr>
                <w:spacing w:val="-2"/>
                <w:kern w:val="16"/>
                <w:position w:val="-2"/>
                <w:sz w:val="18"/>
                <w:szCs w:val="18"/>
              </w:rPr>
            </w:pPr>
            <w:r w:rsidRPr="008971AE">
              <w:rPr>
                <w:spacing w:val="-2"/>
                <w:kern w:val="16"/>
                <w:position w:val="-2"/>
                <w:sz w:val="18"/>
                <w:szCs w:val="18"/>
              </w:rPr>
              <w:t xml:space="preserve">Develop a draft report on Ghana’s mercury use and sources </w:t>
            </w:r>
          </w:p>
        </w:tc>
        <w:tc>
          <w:tcPr>
            <w:tcW w:w="2790" w:type="dxa"/>
            <w:tcBorders>
              <w:bottom w:val="single" w:sz="4" w:space="0" w:color="auto"/>
            </w:tcBorders>
            <w:shd w:val="clear" w:color="auto" w:fill="auto"/>
          </w:tcPr>
          <w:p w:rsidR="008B0719" w:rsidRPr="00067743" w:rsidRDefault="00067743" w:rsidP="005F29CB">
            <w:pPr>
              <w:suppressAutoHyphens/>
              <w:spacing w:after="0" w:line="240" w:lineRule="auto"/>
              <w:contextualSpacing/>
              <w:jc w:val="left"/>
              <w:rPr>
                <w:rFonts w:eastAsia="Times New Roman"/>
                <w:spacing w:val="-2"/>
                <w:kern w:val="16"/>
                <w:position w:val="-2"/>
                <w:sz w:val="18"/>
                <w:szCs w:val="18"/>
                <w:lang w:val="en-US"/>
              </w:rPr>
            </w:pPr>
            <w:r w:rsidRPr="00067743">
              <w:rPr>
                <w:rFonts w:eastAsia="Times New Roman"/>
                <w:spacing w:val="-2"/>
                <w:kern w:val="16"/>
                <w:position w:val="-2"/>
                <w:sz w:val="18"/>
                <w:szCs w:val="18"/>
                <w:lang w:val="en-US"/>
              </w:rPr>
              <w:t xml:space="preserve">A draft report on mercury sources and uses in Ghana </w:t>
            </w:r>
            <w:r w:rsidR="00B77B12">
              <w:rPr>
                <w:rFonts w:eastAsia="Times New Roman"/>
                <w:spacing w:val="-2"/>
                <w:kern w:val="16"/>
                <w:position w:val="-2"/>
                <w:sz w:val="18"/>
                <w:szCs w:val="18"/>
                <w:lang w:val="en-US"/>
              </w:rPr>
              <w:t>h</w:t>
            </w:r>
            <w:r w:rsidRPr="00067743">
              <w:rPr>
                <w:rFonts w:eastAsia="Times New Roman"/>
                <w:spacing w:val="-2"/>
                <w:kern w:val="16"/>
                <w:position w:val="-2"/>
                <w:sz w:val="18"/>
                <w:szCs w:val="18"/>
                <w:lang w:val="en-US"/>
              </w:rPr>
              <w:t xml:space="preserve">as been developed by the Mercury inventory team for stakeholder consultation. </w:t>
            </w:r>
            <w:r>
              <w:rPr>
                <w:rFonts w:eastAsia="Times New Roman"/>
                <w:spacing w:val="-2"/>
                <w:kern w:val="16"/>
                <w:position w:val="-2"/>
                <w:sz w:val="18"/>
                <w:szCs w:val="18"/>
                <w:lang w:val="en-US"/>
              </w:rPr>
              <w:t>The final report after the consultation shall be used as primary information for t</w:t>
            </w:r>
            <w:r w:rsidR="00B77B12">
              <w:rPr>
                <w:rFonts w:eastAsia="Times New Roman"/>
                <w:spacing w:val="-2"/>
                <w:kern w:val="16"/>
                <w:position w:val="-2"/>
                <w:sz w:val="18"/>
                <w:szCs w:val="18"/>
                <w:lang w:val="en-US"/>
              </w:rPr>
              <w:t>h</w:t>
            </w:r>
            <w:r>
              <w:rPr>
                <w:rFonts w:eastAsia="Times New Roman"/>
                <w:spacing w:val="-2"/>
                <w:kern w:val="16"/>
                <w:position w:val="-2"/>
                <w:sz w:val="18"/>
                <w:szCs w:val="18"/>
                <w:lang w:val="en-US"/>
              </w:rPr>
              <w:t xml:space="preserve">e Minamata Initial Assessment report for Ghana in 2018. </w:t>
            </w:r>
          </w:p>
        </w:tc>
        <w:tc>
          <w:tcPr>
            <w:tcW w:w="1890" w:type="dxa"/>
            <w:tcBorders>
              <w:bottom w:val="single" w:sz="4" w:space="0" w:color="auto"/>
            </w:tcBorders>
            <w:shd w:val="clear" w:color="auto" w:fill="auto"/>
          </w:tcPr>
          <w:p w:rsidR="008B0719" w:rsidRPr="005F29CB" w:rsidRDefault="008B0719" w:rsidP="005F29CB">
            <w:pPr>
              <w:suppressAutoHyphens/>
              <w:spacing w:after="0" w:line="240" w:lineRule="auto"/>
              <w:jc w:val="left"/>
              <w:rPr>
                <w:spacing w:val="-2"/>
                <w:kern w:val="16"/>
                <w:position w:val="-2"/>
                <w:sz w:val="20"/>
                <w:szCs w:val="20"/>
              </w:rPr>
            </w:pPr>
          </w:p>
        </w:tc>
      </w:tr>
      <w:tr w:rsidR="002978DF" w:rsidRPr="00A9499C" w:rsidTr="006D0F38">
        <w:trPr>
          <w:trHeight w:val="353"/>
        </w:trPr>
        <w:tc>
          <w:tcPr>
            <w:tcW w:w="10345" w:type="dxa"/>
            <w:gridSpan w:val="5"/>
            <w:shd w:val="clear" w:color="auto" w:fill="BFBFBF" w:themeFill="background1" w:themeFillShade="BF"/>
          </w:tcPr>
          <w:p w:rsidR="002978DF" w:rsidRPr="006D0F38" w:rsidRDefault="002978DF" w:rsidP="005F29CB">
            <w:pPr>
              <w:suppressAutoHyphens/>
              <w:spacing w:after="0" w:line="240" w:lineRule="auto"/>
              <w:jc w:val="left"/>
              <w:rPr>
                <w:b/>
                <w:spacing w:val="-2"/>
                <w:kern w:val="16"/>
                <w:position w:val="-2"/>
                <w:sz w:val="20"/>
                <w:szCs w:val="20"/>
              </w:rPr>
            </w:pPr>
            <w:r w:rsidRPr="006D0F38">
              <w:rPr>
                <w:b/>
                <w:color w:val="1F497D" w:themeColor="text2"/>
                <w:spacing w:val="-2"/>
                <w:kern w:val="16"/>
                <w:position w:val="-2"/>
                <w:sz w:val="20"/>
                <w:szCs w:val="20"/>
              </w:rPr>
              <w:t>Outcome 3</w:t>
            </w:r>
            <w:r w:rsidR="00F35A1A">
              <w:rPr>
                <w:b/>
                <w:color w:val="1F497D" w:themeColor="text2"/>
                <w:spacing w:val="-2"/>
                <w:kern w:val="16"/>
                <w:position w:val="-2"/>
                <w:sz w:val="20"/>
                <w:szCs w:val="20"/>
              </w:rPr>
              <w:t xml:space="preserve">. </w:t>
            </w:r>
            <w:r w:rsidRPr="006D0F38">
              <w:rPr>
                <w:b/>
                <w:color w:val="1F497D" w:themeColor="text2"/>
                <w:spacing w:val="-2"/>
                <w:kern w:val="16"/>
                <w:position w:val="-2"/>
                <w:sz w:val="20"/>
                <w:szCs w:val="20"/>
              </w:rPr>
              <w:t xml:space="preserve"> Project Monitoring</w:t>
            </w:r>
          </w:p>
        </w:tc>
      </w:tr>
      <w:tr w:rsidR="002978DF" w:rsidRPr="00A9499C" w:rsidTr="008971AE">
        <w:trPr>
          <w:trHeight w:val="632"/>
        </w:trPr>
        <w:tc>
          <w:tcPr>
            <w:tcW w:w="2250" w:type="dxa"/>
            <w:tcBorders>
              <w:bottom w:val="single" w:sz="4" w:space="0" w:color="auto"/>
            </w:tcBorders>
            <w:shd w:val="clear" w:color="auto" w:fill="auto"/>
          </w:tcPr>
          <w:p w:rsidR="002978DF" w:rsidRPr="008B0719" w:rsidRDefault="002978DF" w:rsidP="008B0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b/>
                <w:sz w:val="20"/>
                <w:szCs w:val="20"/>
                <w:lang w:eastAsia="ar-SA"/>
              </w:rPr>
            </w:pPr>
          </w:p>
        </w:tc>
        <w:tc>
          <w:tcPr>
            <w:tcW w:w="1615" w:type="dxa"/>
            <w:tcBorders>
              <w:bottom w:val="single" w:sz="4" w:space="0" w:color="auto"/>
            </w:tcBorders>
            <w:shd w:val="clear" w:color="auto" w:fill="auto"/>
          </w:tcPr>
          <w:p w:rsidR="002978DF" w:rsidRPr="008971AE" w:rsidRDefault="002978DF" w:rsidP="005F2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spacing w:val="-2"/>
                <w:kern w:val="16"/>
                <w:position w:val="-2"/>
                <w:sz w:val="18"/>
                <w:szCs w:val="18"/>
                <w:lang w:val="en-US"/>
              </w:rPr>
            </w:pPr>
            <w:r w:rsidRPr="008971AE">
              <w:rPr>
                <w:spacing w:val="-2"/>
                <w:kern w:val="16"/>
                <w:position w:val="-2"/>
                <w:sz w:val="18"/>
                <w:szCs w:val="18"/>
                <w:lang w:val="en-US"/>
              </w:rPr>
              <w:t>National Inception meeting</w:t>
            </w:r>
            <w:r w:rsidR="00331A88">
              <w:rPr>
                <w:spacing w:val="-2"/>
                <w:kern w:val="16"/>
                <w:position w:val="-2"/>
                <w:sz w:val="18"/>
                <w:szCs w:val="18"/>
                <w:lang w:val="en-US"/>
              </w:rPr>
              <w:t xml:space="preserve"> organized</w:t>
            </w:r>
          </w:p>
        </w:tc>
        <w:tc>
          <w:tcPr>
            <w:tcW w:w="1800" w:type="dxa"/>
            <w:tcBorders>
              <w:bottom w:val="single" w:sz="4" w:space="0" w:color="auto"/>
            </w:tcBorders>
            <w:shd w:val="clear" w:color="auto" w:fill="auto"/>
          </w:tcPr>
          <w:p w:rsidR="002978DF" w:rsidRPr="00331A88" w:rsidRDefault="00331A88" w:rsidP="005F29CB">
            <w:pPr>
              <w:suppressAutoHyphens/>
              <w:spacing w:after="0" w:line="240" w:lineRule="auto"/>
              <w:contextualSpacing/>
              <w:jc w:val="left"/>
              <w:rPr>
                <w:spacing w:val="-2"/>
                <w:kern w:val="16"/>
                <w:position w:val="-2"/>
                <w:sz w:val="18"/>
                <w:szCs w:val="18"/>
              </w:rPr>
            </w:pPr>
            <w:r w:rsidRPr="00331A88">
              <w:rPr>
                <w:spacing w:val="-2"/>
                <w:kern w:val="16"/>
                <w:position w:val="-2"/>
                <w:sz w:val="18"/>
                <w:szCs w:val="18"/>
              </w:rPr>
              <w:t xml:space="preserve">Organize an inception meeting in 2017 to begin project implementation </w:t>
            </w:r>
          </w:p>
          <w:p w:rsidR="00331A88" w:rsidRPr="00331A88" w:rsidRDefault="00331A88" w:rsidP="005F29CB">
            <w:pPr>
              <w:suppressAutoHyphens/>
              <w:spacing w:after="0" w:line="240" w:lineRule="auto"/>
              <w:contextualSpacing/>
              <w:jc w:val="left"/>
              <w:rPr>
                <w:spacing w:val="-2"/>
                <w:kern w:val="16"/>
                <w:position w:val="-2"/>
                <w:sz w:val="18"/>
                <w:szCs w:val="18"/>
              </w:rPr>
            </w:pPr>
          </w:p>
        </w:tc>
        <w:tc>
          <w:tcPr>
            <w:tcW w:w="2790" w:type="dxa"/>
            <w:tcBorders>
              <w:bottom w:val="single" w:sz="4" w:space="0" w:color="auto"/>
            </w:tcBorders>
            <w:shd w:val="clear" w:color="auto" w:fill="auto"/>
          </w:tcPr>
          <w:p w:rsidR="002978DF" w:rsidRPr="00331A88" w:rsidRDefault="00331A88" w:rsidP="005F29CB">
            <w:pPr>
              <w:suppressAutoHyphens/>
              <w:spacing w:after="0" w:line="240" w:lineRule="auto"/>
              <w:contextualSpacing/>
              <w:jc w:val="left"/>
              <w:rPr>
                <w:rFonts w:eastAsia="Times New Roman"/>
                <w:spacing w:val="-2"/>
                <w:kern w:val="16"/>
                <w:position w:val="-2"/>
                <w:sz w:val="18"/>
                <w:szCs w:val="18"/>
                <w:lang w:val="en-US"/>
              </w:rPr>
            </w:pPr>
            <w:r w:rsidRPr="00331A88">
              <w:rPr>
                <w:rFonts w:eastAsia="Times New Roman"/>
                <w:spacing w:val="-2"/>
                <w:kern w:val="16"/>
                <w:position w:val="-2"/>
                <w:sz w:val="18"/>
                <w:szCs w:val="18"/>
                <w:lang w:val="en-US"/>
              </w:rPr>
              <w:t xml:space="preserve">An inception meeting was organized in January 2017 for stakeholders to agree on the implementation strategies for the project. </w:t>
            </w:r>
          </w:p>
        </w:tc>
        <w:tc>
          <w:tcPr>
            <w:tcW w:w="1890" w:type="dxa"/>
            <w:tcBorders>
              <w:bottom w:val="single" w:sz="4" w:space="0" w:color="auto"/>
            </w:tcBorders>
            <w:shd w:val="clear" w:color="auto" w:fill="auto"/>
          </w:tcPr>
          <w:p w:rsidR="002978DF" w:rsidRPr="005F29CB" w:rsidRDefault="002978DF" w:rsidP="005F29CB">
            <w:pPr>
              <w:suppressAutoHyphens/>
              <w:spacing w:after="0" w:line="240" w:lineRule="auto"/>
              <w:jc w:val="left"/>
              <w:rPr>
                <w:spacing w:val="-2"/>
                <w:kern w:val="16"/>
                <w:position w:val="-2"/>
                <w:sz w:val="20"/>
                <w:szCs w:val="20"/>
              </w:rPr>
            </w:pPr>
          </w:p>
        </w:tc>
      </w:tr>
      <w:tr w:rsidR="002978DF" w:rsidRPr="00A9499C" w:rsidTr="006D0F38">
        <w:trPr>
          <w:trHeight w:val="350"/>
        </w:trPr>
        <w:tc>
          <w:tcPr>
            <w:tcW w:w="10345" w:type="dxa"/>
            <w:gridSpan w:val="5"/>
            <w:shd w:val="clear" w:color="auto" w:fill="BFBFBF" w:themeFill="background1" w:themeFillShade="BF"/>
          </w:tcPr>
          <w:p w:rsidR="002978DF" w:rsidRPr="006D0F38" w:rsidRDefault="002978DF" w:rsidP="005F29CB">
            <w:pPr>
              <w:suppressAutoHyphens/>
              <w:spacing w:after="0" w:line="240" w:lineRule="auto"/>
              <w:jc w:val="left"/>
              <w:rPr>
                <w:b/>
                <w:spacing w:val="-2"/>
                <w:kern w:val="16"/>
                <w:position w:val="-2"/>
                <w:sz w:val="20"/>
                <w:szCs w:val="20"/>
              </w:rPr>
            </w:pPr>
            <w:r w:rsidRPr="006D0F38">
              <w:rPr>
                <w:b/>
                <w:color w:val="1F497D" w:themeColor="text2"/>
                <w:spacing w:val="-2"/>
                <w:kern w:val="16"/>
                <w:position w:val="-2"/>
                <w:sz w:val="20"/>
                <w:szCs w:val="20"/>
              </w:rPr>
              <w:lastRenderedPageBreak/>
              <w:t>Outcome 4</w:t>
            </w:r>
            <w:r w:rsidR="00F35A1A">
              <w:rPr>
                <w:b/>
                <w:color w:val="1F497D" w:themeColor="text2"/>
                <w:spacing w:val="-2"/>
                <w:kern w:val="16"/>
                <w:position w:val="-2"/>
                <w:sz w:val="20"/>
                <w:szCs w:val="20"/>
              </w:rPr>
              <w:t xml:space="preserve">. </w:t>
            </w:r>
            <w:r w:rsidRPr="006D0F38">
              <w:rPr>
                <w:b/>
                <w:color w:val="1F497D" w:themeColor="text2"/>
                <w:spacing w:val="-2"/>
                <w:kern w:val="16"/>
                <w:position w:val="-2"/>
                <w:sz w:val="20"/>
                <w:szCs w:val="20"/>
              </w:rPr>
              <w:t xml:space="preserve"> Project Management</w:t>
            </w:r>
          </w:p>
        </w:tc>
      </w:tr>
      <w:tr w:rsidR="002978DF" w:rsidRPr="00A9499C" w:rsidTr="008971AE">
        <w:trPr>
          <w:trHeight w:val="902"/>
        </w:trPr>
        <w:tc>
          <w:tcPr>
            <w:tcW w:w="2250" w:type="dxa"/>
            <w:shd w:val="clear" w:color="auto" w:fill="auto"/>
          </w:tcPr>
          <w:p w:rsidR="002978DF" w:rsidRDefault="002978DF" w:rsidP="008B0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b/>
                <w:sz w:val="20"/>
                <w:szCs w:val="20"/>
                <w:lang w:eastAsia="ar-SA"/>
              </w:rPr>
            </w:pPr>
          </w:p>
        </w:tc>
        <w:tc>
          <w:tcPr>
            <w:tcW w:w="1615" w:type="dxa"/>
            <w:shd w:val="clear" w:color="auto" w:fill="auto"/>
          </w:tcPr>
          <w:p w:rsidR="002978DF" w:rsidRPr="008971AE" w:rsidRDefault="002978DF" w:rsidP="005F2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spacing w:val="-2"/>
                <w:kern w:val="16"/>
                <w:position w:val="-2"/>
                <w:sz w:val="18"/>
                <w:szCs w:val="18"/>
                <w:lang w:val="en-US"/>
              </w:rPr>
            </w:pPr>
            <w:r w:rsidRPr="008971AE">
              <w:rPr>
                <w:spacing w:val="-2"/>
                <w:kern w:val="16"/>
                <w:position w:val="-2"/>
                <w:sz w:val="18"/>
                <w:szCs w:val="18"/>
                <w:lang w:val="en-US"/>
              </w:rPr>
              <w:t>Steering Committee Meeting</w:t>
            </w:r>
            <w:r w:rsidR="00331A88">
              <w:rPr>
                <w:spacing w:val="-2"/>
                <w:kern w:val="16"/>
                <w:position w:val="-2"/>
                <w:sz w:val="18"/>
                <w:szCs w:val="18"/>
                <w:lang w:val="en-US"/>
              </w:rPr>
              <w:t xml:space="preserve"> organized</w:t>
            </w:r>
          </w:p>
        </w:tc>
        <w:tc>
          <w:tcPr>
            <w:tcW w:w="1800" w:type="dxa"/>
            <w:shd w:val="clear" w:color="auto" w:fill="auto"/>
          </w:tcPr>
          <w:p w:rsidR="002978DF" w:rsidRPr="005F29CB" w:rsidRDefault="000731B5" w:rsidP="005F29CB">
            <w:pPr>
              <w:suppressAutoHyphens/>
              <w:spacing w:after="0" w:line="240" w:lineRule="auto"/>
              <w:contextualSpacing/>
              <w:jc w:val="left"/>
              <w:rPr>
                <w:spacing w:val="-2"/>
                <w:kern w:val="16"/>
                <w:position w:val="-2"/>
                <w:sz w:val="20"/>
                <w:szCs w:val="20"/>
              </w:rPr>
            </w:pPr>
            <w:r>
              <w:rPr>
                <w:spacing w:val="-2"/>
                <w:kern w:val="16"/>
                <w:position w:val="-2"/>
                <w:sz w:val="20"/>
                <w:szCs w:val="20"/>
              </w:rPr>
              <w:t>Organize at least 2 Steering Committee</w:t>
            </w:r>
          </w:p>
        </w:tc>
        <w:tc>
          <w:tcPr>
            <w:tcW w:w="2790" w:type="dxa"/>
            <w:shd w:val="clear" w:color="auto" w:fill="auto"/>
          </w:tcPr>
          <w:p w:rsidR="002978DF" w:rsidRPr="005F29CB" w:rsidRDefault="00545135" w:rsidP="005F29CB">
            <w:pPr>
              <w:suppressAutoHyphens/>
              <w:spacing w:after="0" w:line="240" w:lineRule="auto"/>
              <w:contextualSpacing/>
              <w:jc w:val="left"/>
              <w:rPr>
                <w:rFonts w:eastAsia="Times New Roman"/>
                <w:spacing w:val="-2"/>
                <w:kern w:val="16"/>
                <w:position w:val="-2"/>
                <w:sz w:val="20"/>
                <w:szCs w:val="20"/>
                <w:lang w:val="en-US"/>
              </w:rPr>
            </w:pPr>
            <w:r>
              <w:rPr>
                <w:rFonts w:eastAsia="Times New Roman"/>
                <w:spacing w:val="-2"/>
                <w:kern w:val="16"/>
                <w:position w:val="-2"/>
                <w:sz w:val="20"/>
                <w:szCs w:val="20"/>
                <w:lang w:val="en-US"/>
              </w:rPr>
              <w:t>3 steering committee meetings have been organized in the year for stakeholders to monitor progress in project implementation</w:t>
            </w:r>
          </w:p>
        </w:tc>
        <w:tc>
          <w:tcPr>
            <w:tcW w:w="1890" w:type="dxa"/>
            <w:shd w:val="clear" w:color="auto" w:fill="auto"/>
          </w:tcPr>
          <w:p w:rsidR="002978DF" w:rsidRPr="005F29CB" w:rsidRDefault="002978DF" w:rsidP="005F29CB">
            <w:pPr>
              <w:suppressAutoHyphens/>
              <w:spacing w:after="0" w:line="240" w:lineRule="auto"/>
              <w:jc w:val="left"/>
              <w:rPr>
                <w:spacing w:val="-2"/>
                <w:kern w:val="16"/>
                <w:position w:val="-2"/>
                <w:sz w:val="20"/>
                <w:szCs w:val="20"/>
              </w:rPr>
            </w:pPr>
          </w:p>
        </w:tc>
      </w:tr>
      <w:tr w:rsidR="000D1FD0" w:rsidRPr="00A9499C" w:rsidTr="00D33512">
        <w:trPr>
          <w:trHeight w:val="540"/>
        </w:trPr>
        <w:tc>
          <w:tcPr>
            <w:tcW w:w="10345" w:type="dxa"/>
            <w:gridSpan w:val="5"/>
            <w:tcBorders>
              <w:bottom w:val="nil"/>
            </w:tcBorders>
            <w:shd w:val="clear" w:color="auto" w:fill="D9D9D9" w:themeFill="background1" w:themeFillShade="D9"/>
          </w:tcPr>
          <w:p w:rsidR="000D1FD0" w:rsidRPr="000D1FD0" w:rsidRDefault="000D1FD0" w:rsidP="002728A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2" w:hanging="162"/>
              <w:jc w:val="left"/>
              <w:rPr>
                <w:rFonts w:eastAsia="Times New Roman" w:cs="Helvetica"/>
                <w:b/>
                <w:color w:val="003D80"/>
                <w:sz w:val="20"/>
                <w:szCs w:val="24"/>
                <w:lang w:val="en-US" w:bidi="en-US"/>
              </w:rPr>
            </w:pPr>
            <w:r>
              <w:rPr>
                <w:rFonts w:eastAsia="Times New Roman" w:cs="Helvetica"/>
                <w:b/>
                <w:color w:val="003D80"/>
                <w:sz w:val="20"/>
                <w:szCs w:val="24"/>
                <w:lang w:val="en-US" w:bidi="en-US"/>
              </w:rPr>
              <w:t xml:space="preserve">GENDER SPECIFIC RESULTS </w:t>
            </w:r>
            <w:r w:rsidRPr="00CC2D87">
              <w:rPr>
                <w:rFonts w:eastAsia="Times New Roman" w:cs="Helvetica"/>
                <w:i/>
                <w:color w:val="141413"/>
                <w:sz w:val="20"/>
                <w:szCs w:val="20"/>
                <w:lang w:val="en-US" w:bidi="en-US"/>
              </w:rPr>
              <w:t>[</w:t>
            </w:r>
            <w:r w:rsidRPr="00093047">
              <w:rPr>
                <w:rFonts w:eastAsia="Times New Roman" w:cs="Helvetica"/>
                <w:i/>
                <w:sz w:val="20"/>
                <w:szCs w:val="24"/>
                <w:lang w:val="en-US" w:bidi="en-US"/>
              </w:rPr>
              <w:t xml:space="preserve">Please </w:t>
            </w:r>
            <w:r>
              <w:rPr>
                <w:rFonts w:eastAsia="Times New Roman" w:cs="Helvetica"/>
                <w:i/>
                <w:sz w:val="20"/>
                <w:szCs w:val="24"/>
                <w:lang w:val="en-US" w:bidi="en-US"/>
              </w:rPr>
              <w:t>report specific gender disaggregated results</w:t>
            </w:r>
            <w:r w:rsidRPr="00CC2D87">
              <w:rPr>
                <w:rFonts w:eastAsia="Times New Roman" w:cs="Helvetica"/>
                <w:i/>
                <w:color w:val="141413"/>
                <w:sz w:val="20"/>
                <w:szCs w:val="20"/>
                <w:lang w:val="en-US" w:bidi="en-US"/>
              </w:rPr>
              <w:t>]</w:t>
            </w:r>
          </w:p>
          <w:p w:rsidR="000D1FD0" w:rsidRPr="000D1FD0" w:rsidRDefault="000D1FD0" w:rsidP="00272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b/>
                <w:color w:val="003D80"/>
                <w:sz w:val="20"/>
                <w:szCs w:val="24"/>
                <w:lang w:val="en-US" w:bidi="en-US"/>
              </w:rPr>
            </w:pPr>
          </w:p>
        </w:tc>
      </w:tr>
      <w:tr w:rsidR="000D1FD0" w:rsidRPr="00A9499C" w:rsidTr="00D33512">
        <w:trPr>
          <w:trHeight w:val="540"/>
        </w:trPr>
        <w:tc>
          <w:tcPr>
            <w:tcW w:w="10345" w:type="dxa"/>
            <w:gridSpan w:val="5"/>
            <w:tcBorders>
              <w:top w:val="nil"/>
              <w:bottom w:val="single" w:sz="4" w:space="0" w:color="auto"/>
            </w:tcBorders>
            <w:shd w:val="clear" w:color="auto" w:fill="auto"/>
          </w:tcPr>
          <w:p w:rsidR="00A63F14" w:rsidRPr="000D1FD0" w:rsidRDefault="00D56880" w:rsidP="00D56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b/>
                <w:color w:val="003D80"/>
                <w:sz w:val="20"/>
                <w:szCs w:val="24"/>
                <w:lang w:val="en-US" w:bidi="en-US"/>
              </w:rPr>
            </w:pPr>
            <w:r>
              <w:rPr>
                <w:rFonts w:eastAsia="Times New Roman" w:cs="Helvetica"/>
                <w:color w:val="000000" w:themeColor="text1"/>
                <w:sz w:val="20"/>
                <w:szCs w:val="24"/>
                <w:lang w:val="en-US" w:bidi="en-US"/>
              </w:rPr>
              <w:t>N/A</w:t>
            </w:r>
          </w:p>
        </w:tc>
      </w:tr>
      <w:tr w:rsidR="00296A2B" w:rsidRPr="00A9499C" w:rsidTr="00D33512">
        <w:trPr>
          <w:trHeight w:val="540"/>
        </w:trPr>
        <w:tc>
          <w:tcPr>
            <w:tcW w:w="10345" w:type="dxa"/>
            <w:gridSpan w:val="5"/>
            <w:tcBorders>
              <w:top w:val="single" w:sz="4" w:space="0" w:color="auto"/>
              <w:bottom w:val="single" w:sz="4" w:space="0" w:color="FFFFFF" w:themeColor="background1"/>
            </w:tcBorders>
            <w:shd w:val="clear" w:color="auto" w:fill="D9D9D9" w:themeFill="background1" w:themeFillShade="D9"/>
          </w:tcPr>
          <w:p w:rsidR="00296A2B" w:rsidRPr="00DA638E" w:rsidRDefault="00296A2B" w:rsidP="002728A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2" w:hanging="162"/>
              <w:jc w:val="left"/>
              <w:rPr>
                <w:rFonts w:eastAsia="Times New Roman" w:cs="Helvetica"/>
                <w:color w:val="003D80"/>
                <w:sz w:val="20"/>
                <w:szCs w:val="24"/>
                <w:lang w:val="en-US" w:bidi="en-US"/>
              </w:rPr>
            </w:pPr>
            <w:r w:rsidRPr="00040826">
              <w:rPr>
                <w:rFonts w:eastAsia="Times New Roman" w:cs="Helvetica"/>
                <w:b/>
                <w:color w:val="003D80"/>
                <w:sz w:val="20"/>
                <w:szCs w:val="24"/>
                <w:lang w:val="en-US" w:bidi="en-US"/>
              </w:rPr>
              <w:t>PROJECT IMPLEMENTATION CHALLENGES</w:t>
            </w:r>
            <w:r>
              <w:rPr>
                <w:rFonts w:eastAsia="Times New Roman" w:cs="Helvetica"/>
                <w:color w:val="003D80"/>
                <w:sz w:val="20"/>
                <w:szCs w:val="24"/>
                <w:lang w:val="en-US" w:bidi="en-US"/>
              </w:rPr>
              <w:t xml:space="preserve"> </w:t>
            </w:r>
            <w:r w:rsidRPr="00374EC0">
              <w:rPr>
                <w:rFonts w:eastAsia="Times New Roman" w:cs="Helvetica"/>
                <w:i/>
                <w:color w:val="141413"/>
                <w:sz w:val="20"/>
                <w:szCs w:val="20"/>
                <w:lang w:val="en-US" w:bidi="en-US"/>
              </w:rPr>
              <w:t>[</w:t>
            </w:r>
            <w:r w:rsidRPr="00CC2D87">
              <w:rPr>
                <w:rFonts w:eastAsia="Times New Roman" w:cs="Helvetica"/>
                <w:i/>
                <w:color w:val="141413"/>
                <w:sz w:val="20"/>
                <w:szCs w:val="20"/>
                <w:lang w:val="en-US" w:bidi="en-US"/>
              </w:rPr>
              <w:t>Observed or experienced challenges that are generic, related of</w:t>
            </w:r>
            <w:r>
              <w:rPr>
                <w:rFonts w:eastAsia="Times New Roman" w:cs="Helvetica"/>
                <w:i/>
                <w:color w:val="141413"/>
                <w:sz w:val="20"/>
                <w:szCs w:val="20"/>
                <w:lang w:val="en-US" w:bidi="en-US"/>
              </w:rPr>
              <w:t xml:space="preserve"> not </w:t>
            </w:r>
            <w:r w:rsidR="000D1FD0">
              <w:rPr>
                <w:rFonts w:eastAsia="Times New Roman" w:cs="Helvetica"/>
                <w:i/>
                <w:color w:val="141413"/>
                <w:sz w:val="20"/>
                <w:szCs w:val="20"/>
                <w:lang w:val="en-US" w:bidi="en-US"/>
              </w:rPr>
              <w:t>related to any spe</w:t>
            </w:r>
            <w:r w:rsidRPr="00CC2D87">
              <w:rPr>
                <w:rFonts w:eastAsia="Times New Roman" w:cs="Helvetica"/>
                <w:i/>
                <w:color w:val="141413"/>
                <w:sz w:val="20"/>
                <w:szCs w:val="20"/>
                <w:lang w:val="en-US" w:bidi="en-US"/>
              </w:rPr>
              <w:t>cific output, which have or could affect the project implementation and propose a way forward</w:t>
            </w:r>
            <w:r w:rsidRPr="00374EC0">
              <w:rPr>
                <w:rFonts w:eastAsia="Times New Roman" w:cs="Helvetica"/>
                <w:i/>
                <w:color w:val="141413"/>
                <w:sz w:val="20"/>
                <w:szCs w:val="20"/>
                <w:lang w:val="en-US" w:bidi="en-US"/>
              </w:rPr>
              <w:t>]</w:t>
            </w:r>
          </w:p>
        </w:tc>
      </w:tr>
      <w:tr w:rsidR="009E0D78" w:rsidRPr="00A9499C" w:rsidTr="00D33512">
        <w:trPr>
          <w:trHeight w:val="983"/>
        </w:trPr>
        <w:tc>
          <w:tcPr>
            <w:tcW w:w="10345" w:type="dxa"/>
            <w:gridSpan w:val="5"/>
            <w:tcBorders>
              <w:top w:val="single" w:sz="4" w:space="0" w:color="FFFFFF" w:themeColor="background1"/>
            </w:tcBorders>
            <w:shd w:val="clear" w:color="auto" w:fill="auto"/>
          </w:tcPr>
          <w:p w:rsidR="00A63F14" w:rsidRPr="00FC17D1" w:rsidRDefault="00A63F14" w:rsidP="00FC17D1">
            <w:pPr>
              <w:suppressAutoHyphens/>
              <w:spacing w:after="0" w:line="240" w:lineRule="auto"/>
              <w:contextualSpacing/>
              <w:jc w:val="left"/>
              <w:rPr>
                <w:spacing w:val="-2"/>
                <w:kern w:val="16"/>
                <w:position w:val="-2"/>
                <w:sz w:val="2"/>
                <w:szCs w:val="20"/>
              </w:rPr>
            </w:pPr>
          </w:p>
          <w:p w:rsidR="00A63F14" w:rsidRPr="00D56880" w:rsidRDefault="00D56880" w:rsidP="00D56880">
            <w:pPr>
              <w:pStyle w:val="ListParagraph"/>
              <w:numPr>
                <w:ilvl w:val="0"/>
                <w:numId w:val="12"/>
              </w:numPr>
              <w:suppressAutoHyphens/>
              <w:spacing w:after="0" w:line="240" w:lineRule="auto"/>
              <w:jc w:val="left"/>
              <w:rPr>
                <w:spacing w:val="-2"/>
                <w:kern w:val="16"/>
                <w:position w:val="-2"/>
                <w:sz w:val="20"/>
                <w:szCs w:val="20"/>
                <w:lang w:val="en-US"/>
              </w:rPr>
            </w:pPr>
            <w:r>
              <w:rPr>
                <w:spacing w:val="-2"/>
                <w:kern w:val="16"/>
                <w:position w:val="-2"/>
                <w:sz w:val="20"/>
                <w:szCs w:val="20"/>
                <w:lang w:val="en-US"/>
              </w:rPr>
              <w:t xml:space="preserve">Unresponsiveness </w:t>
            </w:r>
            <w:r w:rsidR="00545135">
              <w:rPr>
                <w:spacing w:val="-2"/>
                <w:kern w:val="16"/>
                <w:position w:val="-2"/>
                <w:sz w:val="20"/>
                <w:szCs w:val="20"/>
                <w:lang w:val="en-US"/>
              </w:rPr>
              <w:t>of</w:t>
            </w:r>
            <w:r>
              <w:rPr>
                <w:spacing w:val="-2"/>
                <w:kern w:val="16"/>
                <w:position w:val="-2"/>
                <w:sz w:val="20"/>
                <w:szCs w:val="20"/>
                <w:lang w:val="en-US"/>
              </w:rPr>
              <w:t xml:space="preserve"> public and private institutions during</w:t>
            </w:r>
            <w:r w:rsidR="00545135">
              <w:rPr>
                <w:spacing w:val="-2"/>
                <w:kern w:val="16"/>
                <w:position w:val="-2"/>
                <w:sz w:val="20"/>
                <w:szCs w:val="20"/>
                <w:lang w:val="en-US"/>
              </w:rPr>
              <w:t xml:space="preserve"> national mercury</w:t>
            </w:r>
            <w:r>
              <w:rPr>
                <w:spacing w:val="-2"/>
                <w:kern w:val="16"/>
                <w:position w:val="-2"/>
                <w:sz w:val="20"/>
                <w:szCs w:val="20"/>
                <w:lang w:val="en-US"/>
              </w:rPr>
              <w:t xml:space="preserve"> data </w:t>
            </w:r>
            <w:proofErr w:type="gramStart"/>
            <w:r>
              <w:rPr>
                <w:spacing w:val="-2"/>
                <w:kern w:val="16"/>
                <w:position w:val="-2"/>
                <w:sz w:val="20"/>
                <w:szCs w:val="20"/>
                <w:lang w:val="en-US"/>
              </w:rPr>
              <w:t>collection</w:t>
            </w:r>
            <w:r w:rsidR="00545135">
              <w:rPr>
                <w:spacing w:val="-2"/>
                <w:kern w:val="16"/>
                <w:position w:val="-2"/>
                <w:sz w:val="20"/>
                <w:szCs w:val="20"/>
                <w:lang w:val="en-US"/>
              </w:rPr>
              <w:t xml:space="preserve"> </w:t>
            </w:r>
            <w:r>
              <w:rPr>
                <w:spacing w:val="-2"/>
                <w:kern w:val="16"/>
                <w:position w:val="-2"/>
                <w:sz w:val="20"/>
                <w:szCs w:val="20"/>
                <w:lang w:val="en-US"/>
              </w:rPr>
              <w:t>.</w:t>
            </w:r>
            <w:proofErr w:type="gramEnd"/>
            <w:r>
              <w:rPr>
                <w:spacing w:val="-2"/>
                <w:kern w:val="16"/>
                <w:position w:val="-2"/>
                <w:sz w:val="20"/>
                <w:szCs w:val="20"/>
                <w:lang w:val="en-US"/>
              </w:rPr>
              <w:t xml:space="preserve"> This elongated the inventory process. </w:t>
            </w:r>
          </w:p>
        </w:tc>
      </w:tr>
      <w:tr w:rsidR="009E0D78" w:rsidRPr="00A9499C" w:rsidTr="00D33512">
        <w:trPr>
          <w:trHeight w:val="270"/>
        </w:trPr>
        <w:tc>
          <w:tcPr>
            <w:tcW w:w="10345" w:type="dxa"/>
            <w:gridSpan w:val="5"/>
            <w:tcBorders>
              <w:bottom w:val="single" w:sz="4" w:space="0" w:color="FFFFFF" w:themeColor="background1"/>
            </w:tcBorders>
            <w:shd w:val="clear" w:color="auto" w:fill="D9D9D9" w:themeFill="background1" w:themeFillShade="D9"/>
          </w:tcPr>
          <w:p w:rsidR="009E0D78" w:rsidRPr="001C63EB" w:rsidRDefault="009E0D78" w:rsidP="002728A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2" w:hanging="162"/>
              <w:jc w:val="left"/>
              <w:rPr>
                <w:rFonts w:eastAsia="Times New Roman" w:cs="Times-Roman"/>
                <w:i/>
                <w:color w:val="141413"/>
                <w:sz w:val="20"/>
                <w:szCs w:val="20"/>
                <w:lang w:val="en-US" w:bidi="en-US"/>
              </w:rPr>
            </w:pPr>
            <w:r w:rsidRPr="00040826">
              <w:rPr>
                <w:rFonts w:eastAsia="Times New Roman" w:cs="Helvetica"/>
                <w:b/>
                <w:color w:val="003D80"/>
                <w:sz w:val="20"/>
                <w:szCs w:val="24"/>
                <w:lang w:val="en-US" w:bidi="en-US"/>
              </w:rPr>
              <w:t>LESSONS LEARNED AND OPPORTUNITIES</w:t>
            </w:r>
            <w:r>
              <w:rPr>
                <w:rFonts w:eastAsia="Times New Roman" w:cs="Helvetica"/>
                <w:color w:val="003D80"/>
                <w:sz w:val="20"/>
                <w:szCs w:val="24"/>
                <w:lang w:val="en-US" w:bidi="en-US"/>
              </w:rPr>
              <w:t xml:space="preserve"> </w:t>
            </w:r>
            <w:r w:rsidRPr="00CC2D87">
              <w:rPr>
                <w:rFonts w:eastAsia="Times New Roman" w:cs="Helvetica"/>
                <w:i/>
                <w:color w:val="141413"/>
                <w:sz w:val="20"/>
                <w:szCs w:val="20"/>
                <w:lang w:val="en-US" w:bidi="en-US"/>
              </w:rPr>
              <w:t>[</w:t>
            </w:r>
            <w:r w:rsidRPr="00093047">
              <w:rPr>
                <w:rFonts w:eastAsia="Times New Roman" w:cs="Helvetica"/>
                <w:i/>
                <w:sz w:val="20"/>
                <w:szCs w:val="24"/>
                <w:lang w:val="en-US" w:bidi="en-US"/>
              </w:rPr>
              <w:t xml:space="preserve">Please describe new understanding or insights gained from project activities that can contribute to improving </w:t>
            </w:r>
            <w:r>
              <w:rPr>
                <w:rFonts w:eastAsia="Times New Roman" w:cs="Helvetica"/>
                <w:i/>
                <w:sz w:val="20"/>
                <w:szCs w:val="24"/>
                <w:lang w:val="en-US" w:bidi="en-US"/>
              </w:rPr>
              <w:t>project implementation and</w:t>
            </w:r>
            <w:r w:rsidRPr="00093047">
              <w:rPr>
                <w:rFonts w:eastAsia="Times New Roman" w:cs="Helvetica"/>
                <w:i/>
                <w:sz w:val="20"/>
                <w:szCs w:val="24"/>
                <w:lang w:val="en-US" w:bidi="en-US"/>
              </w:rPr>
              <w:t xml:space="preserve"> </w:t>
            </w:r>
            <w:r>
              <w:rPr>
                <w:rFonts w:eastAsia="Times New Roman" w:cs="Helvetica"/>
                <w:i/>
                <w:sz w:val="20"/>
                <w:szCs w:val="24"/>
                <w:lang w:val="en-US" w:bidi="en-US"/>
              </w:rPr>
              <w:t>future project design</w:t>
            </w:r>
            <w:r w:rsidRPr="00CC2D87">
              <w:rPr>
                <w:rFonts w:eastAsia="Times New Roman" w:cs="Helvetica"/>
                <w:i/>
                <w:color w:val="141413"/>
                <w:sz w:val="20"/>
                <w:szCs w:val="20"/>
                <w:lang w:val="en-US" w:bidi="en-US"/>
              </w:rPr>
              <w:t>]</w:t>
            </w:r>
          </w:p>
        </w:tc>
      </w:tr>
      <w:tr w:rsidR="009E0D78" w:rsidRPr="00A9499C" w:rsidTr="00D62B31">
        <w:trPr>
          <w:trHeight w:val="683"/>
        </w:trPr>
        <w:tc>
          <w:tcPr>
            <w:tcW w:w="10345" w:type="dxa"/>
            <w:gridSpan w:val="5"/>
            <w:tcBorders>
              <w:top w:val="single" w:sz="4" w:space="0" w:color="FFFFFF" w:themeColor="background1"/>
            </w:tcBorders>
            <w:shd w:val="clear" w:color="auto" w:fill="auto"/>
          </w:tcPr>
          <w:p w:rsidR="009E0D78" w:rsidRPr="00D56880" w:rsidRDefault="00D56880" w:rsidP="00D56880">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color w:val="003D80"/>
                <w:sz w:val="20"/>
                <w:szCs w:val="24"/>
                <w:lang w:val="en-US" w:bidi="en-US"/>
              </w:rPr>
            </w:pPr>
            <w:r>
              <w:rPr>
                <w:rFonts w:eastAsia="Times New Roman" w:cs="Times-Roman"/>
                <w:color w:val="141413"/>
                <w:sz w:val="20"/>
                <w:szCs w:val="20"/>
                <w:lang w:val="en-US" w:bidi="en-US"/>
              </w:rPr>
              <w:t>Knowledge on mercury and its adverse impact on human health is on the rise, especially among section</w:t>
            </w:r>
            <w:r w:rsidR="00545135">
              <w:rPr>
                <w:rFonts w:eastAsia="Times New Roman" w:cs="Times-Roman"/>
                <w:color w:val="141413"/>
                <w:sz w:val="20"/>
                <w:szCs w:val="20"/>
                <w:lang w:val="en-US" w:bidi="en-US"/>
              </w:rPr>
              <w:t>s</w:t>
            </w:r>
            <w:r>
              <w:rPr>
                <w:rFonts w:eastAsia="Times New Roman" w:cs="Times-Roman"/>
                <w:color w:val="141413"/>
                <w:sz w:val="20"/>
                <w:szCs w:val="20"/>
                <w:lang w:val="en-US" w:bidi="en-US"/>
              </w:rPr>
              <w:t xml:space="preserve"> of </w:t>
            </w:r>
            <w:r w:rsidR="00545135">
              <w:rPr>
                <w:rFonts w:eastAsia="Times New Roman" w:cs="Times-Roman"/>
                <w:color w:val="141413"/>
                <w:sz w:val="20"/>
                <w:szCs w:val="20"/>
                <w:lang w:val="en-US" w:bidi="en-US"/>
              </w:rPr>
              <w:t xml:space="preserve">the </w:t>
            </w:r>
            <w:r>
              <w:rPr>
                <w:rFonts w:eastAsia="Times New Roman" w:cs="Times-Roman"/>
                <w:color w:val="141413"/>
                <w:sz w:val="20"/>
                <w:szCs w:val="20"/>
                <w:lang w:val="en-US" w:bidi="en-US"/>
              </w:rPr>
              <w:t xml:space="preserve">population that uses it in their daily activities. This presents an opportunity to increase the momentum on knowledge sharing on mercury to protect the populace and the environment from its adverse impacts.  </w:t>
            </w:r>
          </w:p>
          <w:p w:rsidR="00D56880" w:rsidRPr="001C63EB" w:rsidRDefault="00D56880" w:rsidP="00D5688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color w:val="003D80"/>
                <w:sz w:val="20"/>
                <w:szCs w:val="24"/>
                <w:lang w:val="en-US" w:bidi="en-US"/>
              </w:rPr>
            </w:pPr>
          </w:p>
        </w:tc>
      </w:tr>
      <w:tr w:rsidR="009E0D78" w:rsidRPr="00A9499C" w:rsidTr="00D33512">
        <w:trPr>
          <w:trHeight w:val="495"/>
        </w:trPr>
        <w:tc>
          <w:tcPr>
            <w:tcW w:w="10345" w:type="dxa"/>
            <w:gridSpan w:val="5"/>
            <w:tcBorders>
              <w:bottom w:val="single" w:sz="4" w:space="0" w:color="FFFFFF" w:themeColor="background1"/>
            </w:tcBorders>
            <w:shd w:val="clear" w:color="auto" w:fill="D9D9D9" w:themeFill="background1" w:themeFillShade="D9"/>
          </w:tcPr>
          <w:p w:rsidR="009E0D78" w:rsidRPr="00CC2D87" w:rsidRDefault="009E0D78" w:rsidP="002728A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2" w:hanging="162"/>
              <w:jc w:val="left"/>
              <w:rPr>
                <w:rFonts w:eastAsia="Times New Roman" w:cs="Helvetica"/>
                <w:color w:val="003D80"/>
                <w:sz w:val="20"/>
                <w:szCs w:val="24"/>
                <w:lang w:val="en-US" w:bidi="en-US"/>
              </w:rPr>
            </w:pPr>
            <w:r w:rsidRPr="00040826">
              <w:rPr>
                <w:rFonts w:eastAsia="Times New Roman" w:cs="Helvetica"/>
                <w:b/>
                <w:color w:val="003D80"/>
                <w:sz w:val="20"/>
                <w:szCs w:val="24"/>
                <w:lang w:val="en-US" w:bidi="en-US"/>
              </w:rPr>
              <w:t>RECO</w:t>
            </w:r>
            <w:r>
              <w:rPr>
                <w:rFonts w:eastAsia="Times New Roman" w:cs="Helvetica"/>
                <w:b/>
                <w:color w:val="003D80"/>
                <w:sz w:val="20"/>
                <w:szCs w:val="24"/>
                <w:lang w:val="en-US" w:bidi="en-US"/>
              </w:rPr>
              <w:t xml:space="preserve">MMENDATIONS AND PROPOSED ACTION </w:t>
            </w:r>
            <w:r w:rsidRPr="00040826">
              <w:rPr>
                <w:rFonts w:eastAsia="Times New Roman" w:cs="Helvetica"/>
                <w:i/>
                <w:sz w:val="20"/>
                <w:szCs w:val="24"/>
                <w:lang w:val="en-US" w:bidi="en-US"/>
              </w:rPr>
              <w:t xml:space="preserve"> </w:t>
            </w:r>
            <w:r w:rsidRPr="00374EC0">
              <w:rPr>
                <w:rFonts w:eastAsia="Times New Roman" w:cs="Helvetica"/>
                <w:i/>
                <w:sz w:val="20"/>
                <w:szCs w:val="24"/>
                <w:lang w:val="en-US" w:bidi="en-US"/>
              </w:rPr>
              <w:t>[Actions on any matter related to outcome,</w:t>
            </w:r>
            <w:r>
              <w:rPr>
                <w:rFonts w:eastAsia="Times New Roman" w:cs="Helvetica"/>
                <w:i/>
                <w:sz w:val="20"/>
                <w:szCs w:val="24"/>
                <w:lang w:val="en-US" w:bidi="en-US"/>
              </w:rPr>
              <w:t xml:space="preserve"> progress of outputs</w:t>
            </w:r>
            <w:r w:rsidRPr="00374EC0">
              <w:rPr>
                <w:rFonts w:eastAsia="Times New Roman" w:cs="Helvetica"/>
                <w:i/>
                <w:sz w:val="20"/>
                <w:szCs w:val="24"/>
                <w:lang w:val="en-US" w:bidi="en-US"/>
              </w:rPr>
              <w:t xml:space="preserve"> </w:t>
            </w:r>
            <w:r>
              <w:rPr>
                <w:rFonts w:eastAsia="Times New Roman" w:cs="Helvetica"/>
                <w:i/>
                <w:sz w:val="20"/>
                <w:szCs w:val="24"/>
                <w:lang w:val="en-US" w:bidi="en-US"/>
              </w:rPr>
              <w:t xml:space="preserve">and corrective measure taken or to be taken with responsibilities time </w:t>
            </w:r>
            <w:r w:rsidRPr="00374EC0">
              <w:rPr>
                <w:rFonts w:eastAsia="Times New Roman" w:cs="Helvetica"/>
                <w:i/>
                <w:sz w:val="20"/>
                <w:szCs w:val="24"/>
                <w:lang w:val="en-US" w:bidi="en-US"/>
              </w:rPr>
              <w:t>time]</w:t>
            </w:r>
            <w:r>
              <w:rPr>
                <w:rFonts w:eastAsia="Times New Roman" w:cs="Helvetica"/>
                <w:i/>
                <w:sz w:val="20"/>
                <w:szCs w:val="24"/>
                <w:lang w:val="en-US" w:bidi="en-US"/>
              </w:rPr>
              <w:t xml:space="preserve"> </w:t>
            </w:r>
          </w:p>
        </w:tc>
      </w:tr>
      <w:tr w:rsidR="009E0D78" w:rsidRPr="00A9499C" w:rsidTr="00D33512">
        <w:trPr>
          <w:trHeight w:val="1100"/>
        </w:trPr>
        <w:tc>
          <w:tcPr>
            <w:tcW w:w="10345" w:type="dxa"/>
            <w:gridSpan w:val="5"/>
            <w:tcBorders>
              <w:top w:val="single" w:sz="4" w:space="0" w:color="FFFFFF" w:themeColor="background1"/>
            </w:tcBorders>
            <w:shd w:val="clear" w:color="auto" w:fill="auto"/>
          </w:tcPr>
          <w:p w:rsidR="009E0D78" w:rsidRPr="00D56880" w:rsidRDefault="00D56880" w:rsidP="00D56880">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color w:val="003D80"/>
                <w:sz w:val="20"/>
                <w:szCs w:val="24"/>
                <w:lang w:val="en-US" w:bidi="en-US"/>
              </w:rPr>
            </w:pPr>
            <w:r w:rsidRPr="00D56880">
              <w:rPr>
                <w:rFonts w:eastAsia="Times New Roman" w:cs="Helvetica"/>
                <w:color w:val="000000" w:themeColor="text1"/>
                <w:sz w:val="20"/>
                <w:szCs w:val="24"/>
                <w:lang w:val="en-US" w:bidi="en-US"/>
              </w:rPr>
              <w:t>Increase collaboration with the National Development Planning Commission and MMDAs to mainstream chemicals reduction policies in development plans</w:t>
            </w:r>
          </w:p>
        </w:tc>
      </w:tr>
      <w:tr w:rsidR="009E0D78" w:rsidRPr="00A9499C" w:rsidTr="00D33512">
        <w:trPr>
          <w:trHeight w:val="525"/>
        </w:trPr>
        <w:tc>
          <w:tcPr>
            <w:tcW w:w="10345" w:type="dxa"/>
            <w:gridSpan w:val="5"/>
            <w:tcBorders>
              <w:top w:val="single" w:sz="4" w:space="0" w:color="FFFFFF" w:themeColor="background1"/>
              <w:bottom w:val="single" w:sz="4" w:space="0" w:color="FFFFFF" w:themeColor="background1"/>
            </w:tcBorders>
            <w:shd w:val="clear" w:color="auto" w:fill="D9D9D9" w:themeFill="background1" w:themeFillShade="D9"/>
          </w:tcPr>
          <w:p w:rsidR="009E0D78" w:rsidRPr="00CC2D87" w:rsidRDefault="009E0D78" w:rsidP="002728A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2" w:hanging="162"/>
              <w:jc w:val="left"/>
              <w:rPr>
                <w:rFonts w:eastAsia="Times New Roman" w:cs="Helvetica"/>
                <w:color w:val="003D80"/>
                <w:sz w:val="20"/>
                <w:szCs w:val="24"/>
                <w:lang w:val="en-US" w:bidi="en-US"/>
              </w:rPr>
            </w:pPr>
            <w:r>
              <w:rPr>
                <w:rFonts w:eastAsia="Times New Roman" w:cs="Helvetica"/>
                <w:b/>
                <w:color w:val="003D80"/>
                <w:sz w:val="20"/>
                <w:szCs w:val="24"/>
                <w:lang w:val="en-US" w:bidi="en-US"/>
              </w:rPr>
              <w:t>KEY ACTIVITIES FOR 201</w:t>
            </w:r>
            <w:r w:rsidR="005F29CB">
              <w:rPr>
                <w:rFonts w:eastAsia="Times New Roman" w:cs="Helvetica"/>
                <w:b/>
                <w:color w:val="003D80"/>
                <w:sz w:val="20"/>
                <w:szCs w:val="24"/>
                <w:lang w:val="en-US" w:bidi="en-US"/>
              </w:rPr>
              <w:t>8</w:t>
            </w:r>
            <w:r>
              <w:rPr>
                <w:rFonts w:eastAsia="Times New Roman" w:cs="Helvetica"/>
                <w:b/>
                <w:color w:val="003D80"/>
                <w:sz w:val="20"/>
                <w:szCs w:val="24"/>
                <w:lang w:val="en-US" w:bidi="en-US"/>
              </w:rPr>
              <w:t xml:space="preserve"> </w:t>
            </w:r>
            <w:r w:rsidRPr="00CC2D87">
              <w:rPr>
                <w:rFonts w:eastAsia="Times New Roman" w:cs="Helvetica"/>
                <w:i/>
                <w:color w:val="141413"/>
                <w:sz w:val="20"/>
                <w:szCs w:val="20"/>
                <w:lang w:val="en-US" w:bidi="en-US"/>
              </w:rPr>
              <w:t>[</w:t>
            </w:r>
            <w:r>
              <w:rPr>
                <w:rFonts w:eastAsia="Times New Roman" w:cs="Helvetica"/>
                <w:i/>
                <w:sz w:val="20"/>
                <w:szCs w:val="24"/>
                <w:lang w:val="en-US" w:bidi="en-US"/>
              </w:rPr>
              <w:t>Please outline key activities planned for 201</w:t>
            </w:r>
            <w:r w:rsidR="005F29CB">
              <w:rPr>
                <w:rFonts w:eastAsia="Times New Roman" w:cs="Helvetica"/>
                <w:i/>
                <w:sz w:val="20"/>
                <w:szCs w:val="24"/>
                <w:lang w:val="en-US" w:bidi="en-US"/>
              </w:rPr>
              <w:t>8</w:t>
            </w:r>
            <w:r w:rsidRPr="00CC2D87">
              <w:rPr>
                <w:rFonts w:eastAsia="Times New Roman" w:cs="Helvetica"/>
                <w:i/>
                <w:color w:val="141413"/>
                <w:sz w:val="20"/>
                <w:szCs w:val="20"/>
                <w:lang w:val="en-US" w:bidi="en-US"/>
              </w:rPr>
              <w:t>]</w:t>
            </w:r>
          </w:p>
        </w:tc>
      </w:tr>
      <w:tr w:rsidR="009E0D78" w:rsidRPr="00A9499C" w:rsidTr="00D33512">
        <w:trPr>
          <w:trHeight w:val="990"/>
        </w:trPr>
        <w:tc>
          <w:tcPr>
            <w:tcW w:w="10345" w:type="dxa"/>
            <w:gridSpan w:val="5"/>
            <w:tcBorders>
              <w:top w:val="single" w:sz="4" w:space="0" w:color="FFFFFF" w:themeColor="background1"/>
            </w:tcBorders>
            <w:shd w:val="clear" w:color="auto" w:fill="auto"/>
          </w:tcPr>
          <w:p w:rsidR="00A82A25" w:rsidRPr="006D0F38" w:rsidRDefault="007212D3" w:rsidP="006D0F38">
            <w:pPr>
              <w:pStyle w:val="ListParagraph"/>
              <w:numPr>
                <w:ilvl w:val="0"/>
                <w:numId w:val="9"/>
              </w:numPr>
              <w:spacing w:after="120" w:line="240" w:lineRule="auto"/>
              <w:rPr>
                <w:rFonts w:eastAsia="Times New Roman" w:cs="Times-Roman"/>
                <w:color w:val="141413"/>
                <w:sz w:val="20"/>
                <w:szCs w:val="20"/>
                <w:lang w:val="en-US" w:bidi="en-US"/>
              </w:rPr>
            </w:pPr>
            <w:r w:rsidRPr="006D0F38">
              <w:rPr>
                <w:rFonts w:eastAsia="Times New Roman" w:cs="Times-Roman"/>
                <w:color w:val="141413"/>
                <w:sz w:val="20"/>
                <w:szCs w:val="20"/>
                <w:lang w:val="en-US" w:bidi="en-US"/>
              </w:rPr>
              <w:t>Awareness raising on mercury reduction</w:t>
            </w:r>
          </w:p>
          <w:p w:rsidR="007212D3" w:rsidRPr="006D0F38" w:rsidRDefault="007212D3" w:rsidP="006D0F38">
            <w:pPr>
              <w:pStyle w:val="ListParagraph"/>
              <w:numPr>
                <w:ilvl w:val="0"/>
                <w:numId w:val="9"/>
              </w:numPr>
              <w:spacing w:after="120" w:line="240" w:lineRule="auto"/>
              <w:rPr>
                <w:rFonts w:eastAsia="Times New Roman" w:cs="Times-Roman"/>
                <w:color w:val="141413"/>
                <w:sz w:val="20"/>
                <w:szCs w:val="20"/>
                <w:lang w:val="en-US" w:bidi="en-US"/>
              </w:rPr>
            </w:pPr>
            <w:r w:rsidRPr="006D0F38">
              <w:rPr>
                <w:rFonts w:eastAsia="Times New Roman" w:cs="Times-Roman"/>
                <w:color w:val="141413"/>
                <w:sz w:val="20"/>
                <w:szCs w:val="20"/>
                <w:lang w:val="en-US" w:bidi="en-US"/>
              </w:rPr>
              <w:t>Finalization of Ghana’s Minamata Initial Assessment Report</w:t>
            </w:r>
          </w:p>
          <w:p w:rsidR="0031541E" w:rsidRPr="006D0F38" w:rsidRDefault="0031541E" w:rsidP="0031541E">
            <w:pPr>
              <w:pStyle w:val="ListParagraph"/>
              <w:numPr>
                <w:ilvl w:val="0"/>
                <w:numId w:val="9"/>
              </w:numPr>
              <w:spacing w:after="120" w:line="240" w:lineRule="auto"/>
              <w:rPr>
                <w:rFonts w:eastAsia="Times New Roman" w:cs="Times-Roman"/>
                <w:color w:val="141413"/>
                <w:sz w:val="20"/>
                <w:szCs w:val="20"/>
                <w:lang w:val="en-US" w:bidi="en-US"/>
              </w:rPr>
            </w:pPr>
            <w:r w:rsidRPr="006D0F38">
              <w:rPr>
                <w:rFonts w:eastAsia="Times New Roman" w:cs="Times-Roman"/>
                <w:color w:val="141413"/>
                <w:sz w:val="20"/>
                <w:szCs w:val="20"/>
                <w:lang w:val="en-US" w:bidi="en-US"/>
              </w:rPr>
              <w:t xml:space="preserve">Priority setting for national mercury reduction. </w:t>
            </w:r>
          </w:p>
          <w:p w:rsidR="007212D3" w:rsidRPr="0031541E" w:rsidRDefault="007212D3" w:rsidP="0031541E">
            <w:pPr>
              <w:pStyle w:val="ListParagraph"/>
              <w:numPr>
                <w:ilvl w:val="0"/>
                <w:numId w:val="9"/>
              </w:numPr>
              <w:spacing w:after="120" w:line="240" w:lineRule="auto"/>
              <w:rPr>
                <w:rFonts w:eastAsia="Times New Roman" w:cs="Times-Roman"/>
                <w:color w:val="141413"/>
                <w:sz w:val="20"/>
                <w:szCs w:val="20"/>
                <w:lang w:val="en-US" w:bidi="en-US"/>
              </w:rPr>
            </w:pPr>
            <w:r w:rsidRPr="006D0F38">
              <w:rPr>
                <w:rFonts w:eastAsia="Times New Roman" w:cs="Times-Roman"/>
                <w:color w:val="141413"/>
                <w:sz w:val="20"/>
                <w:szCs w:val="20"/>
                <w:lang w:val="en-US" w:bidi="en-US"/>
              </w:rPr>
              <w:t xml:space="preserve">Engagement of NDPC to mainstream MIA report in </w:t>
            </w:r>
            <w:r w:rsidR="00367DE2" w:rsidRPr="006D0F38">
              <w:rPr>
                <w:rFonts w:eastAsia="Times New Roman" w:cs="Times-Roman"/>
                <w:color w:val="141413"/>
                <w:sz w:val="20"/>
                <w:szCs w:val="20"/>
                <w:lang w:val="en-US" w:bidi="en-US"/>
              </w:rPr>
              <w:t>Ghana’s</w:t>
            </w:r>
            <w:r w:rsidRPr="006D0F38">
              <w:rPr>
                <w:rFonts w:eastAsia="Times New Roman" w:cs="Times-Roman"/>
                <w:color w:val="141413"/>
                <w:sz w:val="20"/>
                <w:szCs w:val="20"/>
                <w:lang w:val="en-US" w:bidi="en-US"/>
              </w:rPr>
              <w:t xml:space="preserve"> development plan</w:t>
            </w:r>
            <w:bookmarkStart w:id="0" w:name="_GoBack"/>
            <w:bookmarkEnd w:id="0"/>
          </w:p>
        </w:tc>
      </w:tr>
    </w:tbl>
    <w:p w:rsidR="001B2630" w:rsidRDefault="0031541E" w:rsidP="008B0719"/>
    <w:sectPr w:rsidR="001B2630" w:rsidSect="00296A2B">
      <w:pgSz w:w="12240" w:h="15840"/>
      <w:pgMar w:top="900" w:right="144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28C7"/>
    <w:multiLevelType w:val="multilevel"/>
    <w:tmpl w:val="8414766E"/>
    <w:lvl w:ilvl="0">
      <w:start w:val="1"/>
      <w:numFmt w:val="decimal"/>
      <w:lvlText w:val="%1."/>
      <w:lvlJc w:val="left"/>
      <w:pPr>
        <w:ind w:left="360" w:hanging="360"/>
      </w:pPr>
      <w:rPr>
        <w:rFonts w:hint="default"/>
        <w:b/>
        <w:color w:val="141413"/>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15:restartNumberingAfterBreak="0">
    <w:nsid w:val="06050EEA"/>
    <w:multiLevelType w:val="hybridMultilevel"/>
    <w:tmpl w:val="F9A839A4"/>
    <w:lvl w:ilvl="0" w:tplc="0A22074A">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B91365"/>
    <w:multiLevelType w:val="hybridMultilevel"/>
    <w:tmpl w:val="98183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805196"/>
    <w:multiLevelType w:val="hybridMultilevel"/>
    <w:tmpl w:val="669A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15F4A"/>
    <w:multiLevelType w:val="hybridMultilevel"/>
    <w:tmpl w:val="592ED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F73CD"/>
    <w:multiLevelType w:val="hybridMultilevel"/>
    <w:tmpl w:val="B3E8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D6054"/>
    <w:multiLevelType w:val="hybridMultilevel"/>
    <w:tmpl w:val="8BA0FE22"/>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7" w15:restartNumberingAfterBreak="0">
    <w:nsid w:val="3B310556"/>
    <w:multiLevelType w:val="multilevel"/>
    <w:tmpl w:val="CF6044B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4E53C42"/>
    <w:multiLevelType w:val="hybridMultilevel"/>
    <w:tmpl w:val="29983060"/>
    <w:lvl w:ilvl="0" w:tplc="41D29B2A">
      <w:start w:val="1"/>
      <w:numFmt w:val="decimal"/>
      <w:lvlText w:val="%1."/>
      <w:lvlJc w:val="left"/>
      <w:pPr>
        <w:ind w:left="720" w:hanging="360"/>
      </w:pPr>
      <w:rPr>
        <w:b/>
        <w:i w:val="0"/>
        <w:color w:val="003D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6D7EC9"/>
    <w:multiLevelType w:val="hybridMultilevel"/>
    <w:tmpl w:val="4CF84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A5B414F"/>
    <w:multiLevelType w:val="hybridMultilevel"/>
    <w:tmpl w:val="EDB8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112189"/>
    <w:multiLevelType w:val="hybridMultilevel"/>
    <w:tmpl w:val="780E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4"/>
  </w:num>
  <w:num w:numId="5">
    <w:abstractNumId w:val="9"/>
  </w:num>
  <w:num w:numId="6">
    <w:abstractNumId w:val="5"/>
  </w:num>
  <w:num w:numId="7">
    <w:abstractNumId w:val="1"/>
  </w:num>
  <w:num w:numId="8">
    <w:abstractNumId w:val="0"/>
  </w:num>
  <w:num w:numId="9">
    <w:abstractNumId w:val="11"/>
  </w:num>
  <w:num w:numId="10">
    <w:abstractNumId w:val="7"/>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AC7"/>
    <w:rsid w:val="00002DEF"/>
    <w:rsid w:val="00004256"/>
    <w:rsid w:val="00040826"/>
    <w:rsid w:val="000449C9"/>
    <w:rsid w:val="00067743"/>
    <w:rsid w:val="000731B5"/>
    <w:rsid w:val="00076458"/>
    <w:rsid w:val="00093047"/>
    <w:rsid w:val="000976A4"/>
    <w:rsid w:val="000B35C5"/>
    <w:rsid w:val="000B502C"/>
    <w:rsid w:val="000D1FD0"/>
    <w:rsid w:val="000D2D07"/>
    <w:rsid w:val="001007B7"/>
    <w:rsid w:val="00186BD7"/>
    <w:rsid w:val="001878C8"/>
    <w:rsid w:val="0019741D"/>
    <w:rsid w:val="001E4D0C"/>
    <w:rsid w:val="002069A4"/>
    <w:rsid w:val="0024278C"/>
    <w:rsid w:val="002728AE"/>
    <w:rsid w:val="00296A2B"/>
    <w:rsid w:val="002978DF"/>
    <w:rsid w:val="002A299C"/>
    <w:rsid w:val="00311861"/>
    <w:rsid w:val="0031541E"/>
    <w:rsid w:val="00331A88"/>
    <w:rsid w:val="003468DE"/>
    <w:rsid w:val="003657C1"/>
    <w:rsid w:val="00367DE2"/>
    <w:rsid w:val="00370288"/>
    <w:rsid w:val="0037276F"/>
    <w:rsid w:val="00374EC0"/>
    <w:rsid w:val="003778AA"/>
    <w:rsid w:val="00390055"/>
    <w:rsid w:val="003B731E"/>
    <w:rsid w:val="003F4478"/>
    <w:rsid w:val="00403943"/>
    <w:rsid w:val="004541DB"/>
    <w:rsid w:val="00460077"/>
    <w:rsid w:val="00461328"/>
    <w:rsid w:val="00487C50"/>
    <w:rsid w:val="00494DB6"/>
    <w:rsid w:val="004A3F00"/>
    <w:rsid w:val="004C39F1"/>
    <w:rsid w:val="004D44FB"/>
    <w:rsid w:val="004D6665"/>
    <w:rsid w:val="004E32DF"/>
    <w:rsid w:val="004F6DA9"/>
    <w:rsid w:val="00501F68"/>
    <w:rsid w:val="00517A9E"/>
    <w:rsid w:val="00545135"/>
    <w:rsid w:val="00574ADA"/>
    <w:rsid w:val="005E13E8"/>
    <w:rsid w:val="005E3EC7"/>
    <w:rsid w:val="005F29CB"/>
    <w:rsid w:val="00601E64"/>
    <w:rsid w:val="0060502E"/>
    <w:rsid w:val="006950EB"/>
    <w:rsid w:val="006D0F38"/>
    <w:rsid w:val="007212D3"/>
    <w:rsid w:val="007409CC"/>
    <w:rsid w:val="00764BE0"/>
    <w:rsid w:val="007B425A"/>
    <w:rsid w:val="007E29E0"/>
    <w:rsid w:val="007F683F"/>
    <w:rsid w:val="007F77F1"/>
    <w:rsid w:val="00802FE0"/>
    <w:rsid w:val="00842AC7"/>
    <w:rsid w:val="008971AE"/>
    <w:rsid w:val="008B0719"/>
    <w:rsid w:val="008B07BF"/>
    <w:rsid w:val="008D2843"/>
    <w:rsid w:val="0091522A"/>
    <w:rsid w:val="0094359E"/>
    <w:rsid w:val="009751FB"/>
    <w:rsid w:val="009C5CB0"/>
    <w:rsid w:val="009E0D78"/>
    <w:rsid w:val="009F538A"/>
    <w:rsid w:val="00A610E2"/>
    <w:rsid w:val="00A63F14"/>
    <w:rsid w:val="00A67DF0"/>
    <w:rsid w:val="00A82A25"/>
    <w:rsid w:val="00A91D56"/>
    <w:rsid w:val="00AC3EB6"/>
    <w:rsid w:val="00AC40BC"/>
    <w:rsid w:val="00AE246E"/>
    <w:rsid w:val="00AE4421"/>
    <w:rsid w:val="00B45BCC"/>
    <w:rsid w:val="00B47BA2"/>
    <w:rsid w:val="00B77B12"/>
    <w:rsid w:val="00BD2B3E"/>
    <w:rsid w:val="00BE6F53"/>
    <w:rsid w:val="00C00F50"/>
    <w:rsid w:val="00C06472"/>
    <w:rsid w:val="00C44FC5"/>
    <w:rsid w:val="00C536DB"/>
    <w:rsid w:val="00C867C5"/>
    <w:rsid w:val="00CA506F"/>
    <w:rsid w:val="00CB5C14"/>
    <w:rsid w:val="00CC2D87"/>
    <w:rsid w:val="00CC76A1"/>
    <w:rsid w:val="00CD14B5"/>
    <w:rsid w:val="00CE5CC8"/>
    <w:rsid w:val="00D05E2F"/>
    <w:rsid w:val="00D25309"/>
    <w:rsid w:val="00D255FE"/>
    <w:rsid w:val="00D33512"/>
    <w:rsid w:val="00D45458"/>
    <w:rsid w:val="00D563A6"/>
    <w:rsid w:val="00D56880"/>
    <w:rsid w:val="00D607B2"/>
    <w:rsid w:val="00D62B31"/>
    <w:rsid w:val="00D74011"/>
    <w:rsid w:val="00D7697F"/>
    <w:rsid w:val="00DA638E"/>
    <w:rsid w:val="00E371F4"/>
    <w:rsid w:val="00E5227F"/>
    <w:rsid w:val="00F35A1A"/>
    <w:rsid w:val="00F428E0"/>
    <w:rsid w:val="00FC17D1"/>
    <w:rsid w:val="00FF2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D591B"/>
  <w15:docId w15:val="{ED68F738-F692-4680-9ED7-195D7B60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AC7"/>
    <w:pPr>
      <w:jc w:val="both"/>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A9E"/>
    <w:pPr>
      <w:ind w:left="720"/>
      <w:contextualSpacing/>
    </w:pPr>
  </w:style>
  <w:style w:type="paragraph" w:styleId="Revision">
    <w:name w:val="Revision"/>
    <w:hidden/>
    <w:uiPriority w:val="99"/>
    <w:semiHidden/>
    <w:rsid w:val="008971AE"/>
    <w:pPr>
      <w:spacing w:after="0" w:line="240" w:lineRule="auto"/>
    </w:pPr>
    <w:rPr>
      <w:rFonts w:ascii="Calibri" w:eastAsia="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2017-12-27T08:00:00+00:00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Ghana</TermName>
          <TermId xmlns="http://schemas.microsoft.com/office/infopath/2007/PartnerControls">29617cf7-2144-4d92-a302-f66a1d5a7633</TermId>
        </TermInfo>
      </Terms>
    </UNDPCountryTaxHTField0>
    <UndpOUCode xmlns="1ed4137b-41b2-488b-8250-6d369ec27664">GHA</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Frameworks and strategies for sustainable development</TermName>
          <TermId xmlns="http://schemas.microsoft.com/office/infopath/2007/PartnerControls">aa506d34-4eb5-42b6-b76d-1aaae5e32c3b</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441</Value>
      <Value>763</Value>
      <Value>1361</Value>
      <Value>1112</Value>
      <Value>1159</Value>
      <Value>1</Value>
    </TaxCatchAll>
    <c4e2ab2cc9354bbf9064eeb465a566ea xmlns="1ed4137b-41b2-488b-8250-6d369ec27664">
      <Terms xmlns="http://schemas.microsoft.com/office/infopath/2007/PartnerControls"/>
    </c4e2ab2cc9354bbf9064eeb465a566ea>
    <UndpProjectNo xmlns="1ed4137b-41b2-488b-8250-6d369ec27664">00095383</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GHA</TermName>
          <TermId xmlns="http://schemas.microsoft.com/office/infopath/2007/PartnerControls">1d2ea0de-5983-4ca5-a610-838eddc7a0d2</TermId>
        </TermInfo>
      </Terms>
    </gc6531b704974d528487414686b72f6f>
    <_dlc_DocId xmlns="f1161f5b-24a3-4c2d-bc81-44cb9325e8ee">ATLASPDC-4-75419</_dlc_DocId>
    <_dlc_DocIdUrl xmlns="f1161f5b-24a3-4c2d-bc81-44cb9325e8ee">
      <Url>https://info.undp.org/docs/pdc/_layouts/DocIdRedir.aspx?ID=ATLASPDC-4-75419</Url>
      <Description>ATLASPDC-4-75419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3A8DC8DF-F014-4601-B257-4F1FF2104B67}"/>
</file>

<file path=customXml/itemProps2.xml><?xml version="1.0" encoding="utf-8"?>
<ds:datastoreItem xmlns:ds="http://schemas.openxmlformats.org/officeDocument/2006/customXml" ds:itemID="{17067078-96D0-43BF-B5BF-4AEA795912B8}"/>
</file>

<file path=customXml/itemProps3.xml><?xml version="1.0" encoding="utf-8"?>
<ds:datastoreItem xmlns:ds="http://schemas.openxmlformats.org/officeDocument/2006/customXml" ds:itemID="{0D0334A0-6CB9-47D1-82F0-6935180A4748}"/>
</file>

<file path=customXml/itemProps4.xml><?xml version="1.0" encoding="utf-8"?>
<ds:datastoreItem xmlns:ds="http://schemas.openxmlformats.org/officeDocument/2006/customXml" ds:itemID="{A04682D8-9769-488A-8962-63DECE3140E4}"/>
</file>

<file path=customXml/itemProps5.xml><?xml version="1.0" encoding="utf-8"?>
<ds:datastoreItem xmlns:ds="http://schemas.openxmlformats.org/officeDocument/2006/customXml" ds:itemID="{8C9B6002-1D36-4C13-A492-F9B764235796}"/>
</file>

<file path=docProps/app.xml><?xml version="1.0" encoding="utf-8"?>
<Properties xmlns="http://schemas.openxmlformats.org/officeDocument/2006/extended-properties" xmlns:vt="http://schemas.openxmlformats.org/officeDocument/2006/docPropsVTypes">
  <Template>Normal</Template>
  <TotalTime>189</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dc:creator>
  <cp:lastModifiedBy>Joel Darkwa</cp:lastModifiedBy>
  <cp:revision>16</cp:revision>
  <cp:lastPrinted>2014-09-30T08:32:00Z</cp:lastPrinted>
  <dcterms:created xsi:type="dcterms:W3CDTF">2017-12-11T19:05:00Z</dcterms:created>
  <dcterms:modified xsi:type="dcterms:W3CDTF">2017-12-14T08:20:00Z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1361;#Ghana|29617cf7-2144-4d92-a302-f66a1d5a7633</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1159;#GHA|1d2ea0de-5983-4ca5-a610-838eddc7a0d2</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441;#Frameworks and strategies for sustainable development|aa506d34-4eb5-42b6-b76d-1aaae5e32c3b</vt:lpwstr>
  </property>
  <property fmtid="{D5CDD505-2E9C-101B-9397-08002B2CF9AE}" pid="13" name="_dlc_DocIdItemGuid">
    <vt:lpwstr>76f1b378-e4f8-4435-acdd-7a4364a00ef2</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